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079F5500"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C181E">
        <w:rPr>
          <w:rFonts w:cs="Arial"/>
          <w:sz w:val="24"/>
          <w:szCs w:val="24"/>
        </w:rPr>
        <w:t>9</w:t>
      </w:r>
      <w:r w:rsidR="005775B5">
        <w:rPr>
          <w:rFonts w:cs="Arial"/>
          <w:sz w:val="24"/>
          <w:szCs w:val="24"/>
        </w:rPr>
        <w:t>-</w:t>
      </w:r>
      <w:r w:rsidRPr="00830435">
        <w:rPr>
          <w:rFonts w:cs="Arial"/>
          <w:sz w:val="24"/>
          <w:szCs w:val="24"/>
        </w:rPr>
        <w:t>e</w:t>
      </w:r>
      <w:r w:rsidRPr="00830435">
        <w:rPr>
          <w:rFonts w:cs="Arial"/>
          <w:noProof w:val="0"/>
          <w:sz w:val="24"/>
        </w:rPr>
        <w:tab/>
      </w:r>
      <w:r w:rsidRPr="00830435">
        <w:rPr>
          <w:rFonts w:cs="Arial"/>
          <w:noProof w:val="0"/>
          <w:sz w:val="24"/>
        </w:rPr>
        <w:tab/>
      </w:r>
      <w:r w:rsidR="000514E3" w:rsidRPr="000514E3">
        <w:rPr>
          <w:rFonts w:cs="Arial"/>
          <w:noProof w:val="0"/>
          <w:sz w:val="24"/>
        </w:rPr>
        <w:t>R4-2109207</w:t>
      </w:r>
    </w:p>
    <w:p w14:paraId="2EC60C4C" w14:textId="492D83D5" w:rsidR="00BA4660" w:rsidRPr="00B32217" w:rsidRDefault="00BA4660" w:rsidP="00BA4660">
      <w:pPr>
        <w:pStyle w:val="Header"/>
        <w:rPr>
          <w:noProof w:val="0"/>
          <w:sz w:val="24"/>
          <w:szCs w:val="24"/>
          <w:lang w:eastAsia="zh-CN"/>
        </w:rPr>
      </w:pPr>
      <w:r w:rsidRPr="00B41277">
        <w:rPr>
          <w:rFonts w:cs="Arial"/>
          <w:sz w:val="24"/>
          <w:szCs w:val="24"/>
        </w:rPr>
        <w:t>Electronic</w:t>
      </w:r>
      <w:r w:rsidR="009B36A9">
        <w:rPr>
          <w:rFonts w:cs="Arial"/>
          <w:sz w:val="24"/>
          <w:szCs w:val="24"/>
        </w:rPr>
        <w:t xml:space="preserve"> Meeting</w:t>
      </w:r>
      <w:r w:rsidRPr="00B41277">
        <w:rPr>
          <w:rFonts w:cs="Arial"/>
          <w:sz w:val="24"/>
          <w:szCs w:val="24"/>
        </w:rPr>
        <w:t xml:space="preserve">, </w:t>
      </w:r>
      <w:r w:rsidR="005C181E">
        <w:rPr>
          <w:rFonts w:cs="Arial"/>
          <w:sz w:val="24"/>
          <w:szCs w:val="24"/>
        </w:rPr>
        <w:t>May</w:t>
      </w:r>
      <w:r w:rsidR="009B36A9">
        <w:rPr>
          <w:rFonts w:cs="Arial"/>
          <w:sz w:val="24"/>
          <w:szCs w:val="24"/>
        </w:rPr>
        <w:t xml:space="preserve"> 1</w:t>
      </w:r>
      <w:r w:rsidR="005C181E">
        <w:rPr>
          <w:rFonts w:cs="Arial"/>
          <w:sz w:val="24"/>
          <w:szCs w:val="24"/>
        </w:rPr>
        <w:t>9</w:t>
      </w:r>
      <w:r w:rsidR="009B36A9" w:rsidRPr="00B41277">
        <w:rPr>
          <w:rFonts w:cs="Arial"/>
          <w:sz w:val="24"/>
          <w:szCs w:val="24"/>
          <w:vertAlign w:val="superscript"/>
        </w:rPr>
        <w:t>th</w:t>
      </w:r>
      <w:r w:rsidR="009B36A9" w:rsidRPr="00B41277">
        <w:rPr>
          <w:rFonts w:cs="Arial"/>
          <w:sz w:val="24"/>
          <w:szCs w:val="24"/>
        </w:rPr>
        <w:t xml:space="preserve"> </w:t>
      </w:r>
      <w:r w:rsidRPr="00B41277">
        <w:rPr>
          <w:rFonts w:cs="Arial"/>
          <w:sz w:val="24"/>
          <w:szCs w:val="24"/>
        </w:rPr>
        <w:t xml:space="preserve">– </w:t>
      </w:r>
      <w:r w:rsidR="009B36A9">
        <w:rPr>
          <w:rFonts w:cs="Arial"/>
          <w:sz w:val="24"/>
          <w:szCs w:val="24"/>
        </w:rPr>
        <w:t>2</w:t>
      </w:r>
      <w:r w:rsidR="005C181E">
        <w:rPr>
          <w:rFonts w:cs="Arial"/>
          <w:sz w:val="24"/>
          <w:szCs w:val="24"/>
        </w:rPr>
        <w:t>7</w:t>
      </w:r>
      <w:r w:rsidRPr="00B41277">
        <w:rPr>
          <w:rFonts w:cs="Arial"/>
          <w:sz w:val="24"/>
          <w:szCs w:val="24"/>
          <w:vertAlign w:val="superscript"/>
        </w:rPr>
        <w:t>th</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FC9A5E4"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 xml:space="preserve">Agenda </w:t>
      </w:r>
      <w:r w:rsidRPr="000514E3">
        <w:rPr>
          <w:rFonts w:ascii="Arial" w:hAnsi="Arial" w:cs="Arial"/>
          <w:b/>
          <w:sz w:val="24"/>
        </w:rPr>
        <w:t>item:</w:t>
      </w:r>
      <w:r w:rsidRPr="000514E3">
        <w:rPr>
          <w:rFonts w:ascii="Arial" w:hAnsi="Arial" w:cs="Arial"/>
          <w:b/>
          <w:sz w:val="24"/>
        </w:rPr>
        <w:tab/>
      </w:r>
      <w:bookmarkStart w:id="0" w:name="Source"/>
      <w:bookmarkEnd w:id="0"/>
      <w:r w:rsidR="000514E3" w:rsidRPr="000514E3">
        <w:rPr>
          <w:rFonts w:ascii="Arial" w:hAnsi="Arial" w:cs="Arial"/>
          <w:b/>
          <w:sz w:val="24"/>
        </w:rPr>
        <w:t>6</w:t>
      </w:r>
      <w:r w:rsidR="00606F0B" w:rsidRPr="000514E3">
        <w:rPr>
          <w:rFonts w:ascii="Arial" w:hAnsi="Arial" w:cs="Arial"/>
          <w:b/>
          <w:sz w:val="24"/>
        </w:rPr>
        <w:t>.</w:t>
      </w:r>
      <w:r w:rsidR="00AD360E" w:rsidRPr="000514E3">
        <w:rPr>
          <w:rFonts w:ascii="Arial" w:hAnsi="Arial" w:cs="Arial"/>
          <w:b/>
          <w:sz w:val="24"/>
        </w:rPr>
        <w:t>3</w:t>
      </w:r>
      <w:r w:rsidR="00606F0B" w:rsidRPr="000514E3">
        <w:rPr>
          <w:rFonts w:ascii="Arial" w:hAnsi="Arial" w:cs="Arial"/>
          <w:b/>
          <w:sz w:val="24"/>
        </w:rPr>
        <w:t>.</w:t>
      </w:r>
      <w:r w:rsidR="000514E3" w:rsidRPr="000514E3">
        <w:rPr>
          <w:rFonts w:ascii="Arial" w:hAnsi="Arial" w:cs="Arial"/>
          <w:b/>
          <w:sz w:val="24"/>
        </w:rPr>
        <w:t>6</w:t>
      </w:r>
      <w:r w:rsidR="00F53D76" w:rsidRPr="000514E3">
        <w:rPr>
          <w:rFonts w:ascii="Arial" w:hAnsi="Arial" w:cs="Arial"/>
          <w:b/>
          <w:sz w:val="24"/>
        </w:rPr>
        <w:t>.3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2894C048"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507E16">
        <w:rPr>
          <w:rFonts w:ascii="Arial" w:hAnsi="Arial" w:cs="Arial"/>
          <w:b/>
          <w:sz w:val="24"/>
        </w:rPr>
        <w:t>IAB-</w:t>
      </w:r>
      <w:r w:rsidR="007D7D2C">
        <w:rPr>
          <w:rFonts w:ascii="Arial" w:hAnsi="Arial" w:cs="Arial"/>
          <w:b/>
          <w:sz w:val="24"/>
        </w:rPr>
        <w:t>M</w:t>
      </w:r>
      <w:r w:rsidR="00D87436">
        <w:rPr>
          <w:rFonts w:ascii="Arial" w:hAnsi="Arial" w:cs="Arial"/>
          <w:b/>
          <w:sz w:val="24"/>
        </w:rPr>
        <w:t>T</w:t>
      </w:r>
      <w:r w:rsidR="00507E16">
        <w:rPr>
          <w:rFonts w:ascii="Arial" w:hAnsi="Arial" w:cs="Arial"/>
          <w:b/>
          <w:sz w:val="24"/>
        </w:rPr>
        <w:t xml:space="preserve"> demodulation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7186B738" w14:textId="236D8D93" w:rsidR="008B1192" w:rsidRDefault="00BF6DFE" w:rsidP="009D5093">
      <w:r w:rsidRPr="00706462">
        <w:t>In RAN</w:t>
      </w:r>
      <w:r w:rsidR="00F34163">
        <w:t>4</w:t>
      </w:r>
      <w:r w:rsidRPr="00706462">
        <w:t xml:space="preserve"> #</w:t>
      </w:r>
      <w:r w:rsidR="00706462" w:rsidRPr="00706462">
        <w:t>9</w:t>
      </w:r>
      <w:r w:rsidR="0087067A">
        <w:t>8</w:t>
      </w:r>
      <w:r w:rsidR="009D5093">
        <w:t>-bis-</w:t>
      </w:r>
      <w:r w:rsidRPr="00706462">
        <w:t xml:space="preserve">e meeting </w:t>
      </w:r>
      <w:r w:rsidR="00706462" w:rsidRPr="00706462">
        <w:t>demodulation performance requirements for IAB-</w:t>
      </w:r>
      <w:r w:rsidR="007D7D2C">
        <w:t>M</w:t>
      </w:r>
      <w:r w:rsidR="00D87436">
        <w:rPr>
          <w:lang w:val="en-US"/>
        </w:rPr>
        <w:t>T</w:t>
      </w:r>
      <w:r w:rsidR="00706462" w:rsidRPr="00706462">
        <w:t xml:space="preserve"> were extensively discussed</w:t>
      </w:r>
      <w:r w:rsidR="00706462">
        <w:t xml:space="preserve"> and all agreements and </w:t>
      </w:r>
      <w:r w:rsidR="00CB1EF9">
        <w:t>remaining open issues are captured in</w:t>
      </w:r>
      <w:r w:rsidR="00CB1EF9">
        <w:fldChar w:fldCharType="begin"/>
      </w:r>
      <w:r w:rsidR="00CB1EF9">
        <w:instrText xml:space="preserve"> REF _Hlk21019686 \r \h </w:instrText>
      </w:r>
      <w:r w:rsidR="00CB1EF9">
        <w:fldChar w:fldCharType="separate"/>
      </w:r>
      <w:r w:rsidR="00CB1EF9">
        <w:t>[1]</w:t>
      </w:r>
      <w:r w:rsidR="00CB1EF9">
        <w:fldChar w:fldCharType="end"/>
      </w:r>
      <w:r w:rsidR="00706462" w:rsidRPr="00706462">
        <w:t>.</w:t>
      </w:r>
      <w:r w:rsidRPr="00706462">
        <w:t xml:space="preserve"> </w:t>
      </w:r>
      <w:r w:rsidR="00B56C92">
        <w:t xml:space="preserve">In this paper we </w:t>
      </w:r>
      <w:r w:rsidR="00303D62">
        <w:t>share</w:t>
      </w:r>
      <w:r w:rsidR="00B56C92">
        <w:t xml:space="preserve"> our </w:t>
      </w:r>
      <w:r w:rsidR="00B64FA5">
        <w:t>view</w:t>
      </w:r>
      <w:r w:rsidR="00B56C92">
        <w:t xml:space="preserve"> on </w:t>
      </w:r>
      <w:r w:rsidR="00E70174">
        <w:t>remaining open issues</w:t>
      </w:r>
      <w:r w:rsidR="00296E82">
        <w:t xml:space="preserve"> for IAB-MT performance requirements definition</w:t>
      </w:r>
      <w:r w:rsidR="008B618F">
        <w:t xml:space="preserve">. </w:t>
      </w:r>
    </w:p>
    <w:p w14:paraId="5FB0E992" w14:textId="77777777" w:rsidR="00CF667C" w:rsidRPr="00146B4F" w:rsidRDefault="00CF667C" w:rsidP="00CF667C">
      <w:pPr>
        <w:pStyle w:val="Heading1"/>
      </w:pPr>
      <w:r>
        <w:t>Discussion</w:t>
      </w:r>
    </w:p>
    <w:p w14:paraId="00787578" w14:textId="10144C9D" w:rsidR="00EA4DE4" w:rsidRDefault="00C20D85" w:rsidP="00EA4DE4">
      <w:pPr>
        <w:widowControl w:val="0"/>
        <w:rPr>
          <w:b/>
          <w:bCs/>
          <w:u w:val="single"/>
        </w:rPr>
      </w:pPr>
      <w:r>
        <w:rPr>
          <w:b/>
          <w:bCs/>
          <w:u w:val="single"/>
        </w:rPr>
        <w:t>Simulation results alignment</w:t>
      </w:r>
    </w:p>
    <w:p w14:paraId="64F47D77" w14:textId="4FB64456" w:rsidR="00E57FB8" w:rsidRPr="00AC142E" w:rsidRDefault="00757664" w:rsidP="00EA4DE4">
      <w:pPr>
        <w:widowControl w:val="0"/>
      </w:pPr>
      <w:r>
        <w:t xml:space="preserve">The following agreement were reached regarding simulation results alignment for test cases with </w:t>
      </w:r>
      <w:r w:rsidR="00D24CEC">
        <w:t>updated propagation conditions</w:t>
      </w:r>
      <w:r w:rsidR="00980DF0" w:rsidRPr="00AC142E">
        <w:t>:</w:t>
      </w:r>
    </w:p>
    <w:tbl>
      <w:tblPr>
        <w:tblStyle w:val="TableGrid"/>
        <w:tblW w:w="0" w:type="auto"/>
        <w:tblLook w:val="04A0" w:firstRow="1" w:lastRow="0" w:firstColumn="1" w:lastColumn="0" w:noHBand="0" w:noVBand="1"/>
      </w:tblPr>
      <w:tblGrid>
        <w:gridCol w:w="9629"/>
      </w:tblGrid>
      <w:tr w:rsidR="006A32BE" w14:paraId="070B1A3A" w14:textId="77777777" w:rsidTr="00C46287">
        <w:tc>
          <w:tcPr>
            <w:tcW w:w="9629" w:type="dxa"/>
          </w:tcPr>
          <w:p w14:paraId="7A549088" w14:textId="77777777" w:rsidR="00791F2D" w:rsidRPr="00791F2D" w:rsidRDefault="00791F2D" w:rsidP="00791F2D">
            <w:pPr>
              <w:pStyle w:val="ListParagraph"/>
              <w:widowControl w:val="0"/>
              <w:numPr>
                <w:ilvl w:val="0"/>
                <w:numId w:val="23"/>
              </w:numPr>
              <w:rPr>
                <w:rFonts w:ascii="Times New Roman" w:hAnsi="Times New Roman"/>
                <w:i/>
                <w:iCs/>
                <w:sz w:val="20"/>
                <w:szCs w:val="20"/>
              </w:rPr>
            </w:pPr>
            <w:r w:rsidRPr="00791F2D">
              <w:rPr>
                <w:rFonts w:ascii="Times New Roman" w:hAnsi="Times New Roman"/>
                <w:i/>
                <w:iCs/>
                <w:sz w:val="20"/>
                <w:szCs w:val="20"/>
              </w:rPr>
              <w:t>Down scoping and changing of propagation conditions</w:t>
            </w:r>
          </w:p>
          <w:p w14:paraId="1939BA87" w14:textId="77777777" w:rsidR="00791F2D" w:rsidRPr="00791F2D" w:rsidRDefault="00791F2D" w:rsidP="00791F2D">
            <w:pPr>
              <w:pStyle w:val="ListParagraph"/>
              <w:widowControl w:val="0"/>
              <w:numPr>
                <w:ilvl w:val="1"/>
                <w:numId w:val="23"/>
              </w:numPr>
              <w:rPr>
                <w:rFonts w:ascii="Times New Roman" w:hAnsi="Times New Roman"/>
                <w:i/>
                <w:iCs/>
                <w:sz w:val="20"/>
                <w:szCs w:val="20"/>
              </w:rPr>
            </w:pPr>
            <w:r w:rsidRPr="00791F2D">
              <w:rPr>
                <w:rFonts w:ascii="Times New Roman" w:hAnsi="Times New Roman"/>
                <w:i/>
                <w:iCs/>
                <w:sz w:val="20"/>
                <w:szCs w:val="20"/>
              </w:rPr>
              <w:t>Replace propagation conditions (FR1: TDLC300-100 -&gt; TDLA30-10; FR2: TDLA30-300 -&gt; TDLA30-75) and provide simulation results for alignment.</w:t>
            </w:r>
          </w:p>
          <w:p w14:paraId="56B5901A" w14:textId="3F621CBA" w:rsidR="00791F2D" w:rsidRPr="00791F2D" w:rsidRDefault="00791F2D" w:rsidP="00791F2D">
            <w:pPr>
              <w:pStyle w:val="ListParagraph"/>
              <w:widowControl w:val="0"/>
              <w:numPr>
                <w:ilvl w:val="1"/>
                <w:numId w:val="23"/>
              </w:numPr>
              <w:rPr>
                <w:rFonts w:ascii="Times New Roman" w:hAnsi="Times New Roman"/>
                <w:i/>
                <w:iCs/>
                <w:sz w:val="20"/>
                <w:szCs w:val="20"/>
              </w:rPr>
            </w:pPr>
            <w:r w:rsidRPr="00791F2D">
              <w:rPr>
                <w:rFonts w:ascii="Times New Roman" w:hAnsi="Times New Roman"/>
                <w:i/>
                <w:iCs/>
                <w:sz w:val="20"/>
                <w:szCs w:val="20"/>
              </w:rPr>
              <w:t xml:space="preserve">If less than 3 companies provide results within a span of 2.5 dB the results </w:t>
            </w:r>
            <w:proofErr w:type="gramStart"/>
            <w:r w:rsidRPr="00791F2D">
              <w:rPr>
                <w:rFonts w:ascii="Times New Roman" w:hAnsi="Times New Roman"/>
                <w:i/>
                <w:iCs/>
                <w:sz w:val="20"/>
                <w:szCs w:val="20"/>
              </w:rPr>
              <w:t>are considered to be</w:t>
            </w:r>
            <w:proofErr w:type="gramEnd"/>
            <w:r w:rsidRPr="00791F2D">
              <w:rPr>
                <w:rFonts w:ascii="Times New Roman" w:hAnsi="Times New Roman"/>
                <w:i/>
                <w:iCs/>
                <w:sz w:val="20"/>
                <w:szCs w:val="20"/>
              </w:rPr>
              <w:t xml:space="preserve"> misaligned.</w:t>
            </w:r>
            <w:r w:rsidRPr="00791F2D">
              <w:rPr>
                <w:rFonts w:ascii="Times New Roman" w:hAnsi="Times New Roman"/>
                <w:i/>
                <w:iCs/>
                <w:sz w:val="20"/>
                <w:szCs w:val="20"/>
              </w:rPr>
              <w:br/>
              <w:t>FFS: Consequences of misalignment are:</w:t>
            </w:r>
          </w:p>
          <w:p w14:paraId="0E662518" w14:textId="77777777" w:rsidR="00791F2D" w:rsidRPr="00791F2D" w:rsidRDefault="00791F2D" w:rsidP="00791F2D">
            <w:pPr>
              <w:pStyle w:val="ListParagraph"/>
              <w:widowControl w:val="0"/>
              <w:numPr>
                <w:ilvl w:val="2"/>
                <w:numId w:val="23"/>
              </w:numPr>
              <w:rPr>
                <w:rFonts w:ascii="Times New Roman" w:hAnsi="Times New Roman"/>
                <w:i/>
                <w:iCs/>
                <w:sz w:val="20"/>
                <w:szCs w:val="20"/>
              </w:rPr>
            </w:pPr>
            <w:r w:rsidRPr="00791F2D">
              <w:rPr>
                <w:rFonts w:ascii="Times New Roman" w:hAnsi="Times New Roman"/>
                <w:i/>
                <w:iCs/>
                <w:sz w:val="20"/>
                <w:szCs w:val="20"/>
              </w:rPr>
              <w:t>Option 6a): Requirements remain in square brackets.</w:t>
            </w:r>
          </w:p>
          <w:p w14:paraId="7FA9AF8E" w14:textId="77777777" w:rsidR="00791F2D" w:rsidRPr="00791F2D" w:rsidRDefault="00791F2D" w:rsidP="00791F2D">
            <w:pPr>
              <w:pStyle w:val="ListParagraph"/>
              <w:widowControl w:val="0"/>
              <w:numPr>
                <w:ilvl w:val="2"/>
                <w:numId w:val="23"/>
              </w:numPr>
              <w:rPr>
                <w:rFonts w:ascii="Times New Roman" w:hAnsi="Times New Roman"/>
                <w:i/>
                <w:iCs/>
                <w:sz w:val="20"/>
                <w:szCs w:val="20"/>
              </w:rPr>
            </w:pPr>
            <w:r w:rsidRPr="00791F2D">
              <w:rPr>
                <w:rFonts w:ascii="Times New Roman" w:hAnsi="Times New Roman"/>
                <w:i/>
                <w:iCs/>
                <w:sz w:val="20"/>
                <w:szCs w:val="20"/>
              </w:rPr>
              <w:t>Option 6b): Add extra margin.</w:t>
            </w:r>
          </w:p>
          <w:p w14:paraId="151FFBC9" w14:textId="2BC0D060" w:rsidR="006A32BE" w:rsidRPr="00D87436" w:rsidRDefault="00791F2D" w:rsidP="00791F2D">
            <w:pPr>
              <w:pStyle w:val="ListParagraph"/>
              <w:widowControl w:val="0"/>
              <w:numPr>
                <w:ilvl w:val="2"/>
                <w:numId w:val="23"/>
              </w:numPr>
              <w:rPr>
                <w:b/>
                <w:bCs/>
                <w:u w:val="single"/>
              </w:rPr>
            </w:pPr>
            <w:r w:rsidRPr="00791F2D">
              <w:rPr>
                <w:rFonts w:ascii="Times New Roman" w:hAnsi="Times New Roman"/>
                <w:i/>
                <w:iCs/>
                <w:sz w:val="20"/>
                <w:szCs w:val="20"/>
              </w:rPr>
              <w:t>Option 6c): Copy-paste requirements from UE specification (including the channel model of the UE specification).</w:t>
            </w:r>
          </w:p>
        </w:tc>
      </w:tr>
    </w:tbl>
    <w:p w14:paraId="6C7B6506" w14:textId="69D649D1" w:rsidR="00576DEB" w:rsidRDefault="00576DEB" w:rsidP="00EA4DE4">
      <w:pPr>
        <w:widowControl w:val="0"/>
      </w:pPr>
      <w:r>
        <w:t xml:space="preserve">According to </w:t>
      </w:r>
      <w:r w:rsidR="00A17EDE">
        <w:t xml:space="preserve">the </w:t>
      </w:r>
      <w:r>
        <w:t>already submitted results the span</w:t>
      </w:r>
      <w:r w:rsidR="00A17EDE">
        <w:t xml:space="preserve"> higher than 2.5 dB is only for PDCCH test case 3. </w:t>
      </w:r>
      <w:r w:rsidR="009503B0">
        <w:t xml:space="preserve">Same </w:t>
      </w:r>
      <w:r w:rsidR="00556F14">
        <w:t xml:space="preserve">time if we remove one of the outliers the span will be less than 2.5 dB and at least 3 companies will contribute to </w:t>
      </w:r>
      <w:r w:rsidR="00317CF3">
        <w:t>results. It means that replacement of propagation conditions is possible</w:t>
      </w:r>
      <w:r w:rsidR="00063845">
        <w:t xml:space="preserve"> expect one test case for which one of the outlier results should be removed.</w:t>
      </w:r>
    </w:p>
    <w:p w14:paraId="2DDF562B" w14:textId="0D135786" w:rsidR="00AC142E" w:rsidRPr="00DF0DD2" w:rsidRDefault="00AC142E" w:rsidP="00AC142E">
      <w:pPr>
        <w:pStyle w:val="Proposal1"/>
      </w:pPr>
      <w:r w:rsidRPr="009A4AD2">
        <w:t xml:space="preserve">Proposal #1: </w:t>
      </w:r>
      <w:r w:rsidRPr="009A4AD2">
        <w:tab/>
      </w:r>
      <w:r w:rsidR="00C029E9">
        <w:t xml:space="preserve">Remove one of the outlier results for PDCCH test cases 3 to </w:t>
      </w:r>
      <w:r w:rsidR="00BD39F0">
        <w:t>have less than 2.5 dB span among companies. Remove ou</w:t>
      </w:r>
      <w:r w:rsidR="00B23898">
        <w:t>tlier that has more misalignment with other companies (Contribute to bigger span)</w:t>
      </w:r>
    </w:p>
    <w:p w14:paraId="748970D1" w14:textId="57B9E8CD" w:rsidR="00B360AE" w:rsidRDefault="00B360AE" w:rsidP="00EA4DE4">
      <w:pPr>
        <w:widowControl w:val="0"/>
        <w:rPr>
          <w:b/>
          <w:bCs/>
          <w:u w:val="single"/>
        </w:rPr>
      </w:pPr>
    </w:p>
    <w:p w14:paraId="2D1CA69D" w14:textId="2817F462" w:rsidR="00B360AE" w:rsidRDefault="00C20D85" w:rsidP="00B360AE">
      <w:pPr>
        <w:widowControl w:val="0"/>
        <w:rPr>
          <w:b/>
          <w:bCs/>
          <w:u w:val="single"/>
        </w:rPr>
      </w:pPr>
      <w:r>
        <w:rPr>
          <w:b/>
          <w:bCs/>
          <w:u w:val="single"/>
        </w:rPr>
        <w:t>Test tolerance values</w:t>
      </w:r>
    </w:p>
    <w:p w14:paraId="3A0725F3" w14:textId="13DCDC27" w:rsidR="00DE332E" w:rsidRPr="00DE332E" w:rsidRDefault="00DE332E" w:rsidP="00B360AE">
      <w:pPr>
        <w:widowControl w:val="0"/>
      </w:pPr>
      <w:r w:rsidRPr="00DE332E">
        <w:t>The following options for further discussion were captured on test tolerance for IAB-MT verification.</w:t>
      </w:r>
    </w:p>
    <w:tbl>
      <w:tblPr>
        <w:tblStyle w:val="TableGrid"/>
        <w:tblW w:w="0" w:type="auto"/>
        <w:tblLook w:val="04A0" w:firstRow="1" w:lastRow="0" w:firstColumn="1" w:lastColumn="0" w:noHBand="0" w:noVBand="1"/>
      </w:tblPr>
      <w:tblGrid>
        <w:gridCol w:w="9629"/>
      </w:tblGrid>
      <w:tr w:rsidR="00276E14" w14:paraId="079A40F4" w14:textId="77777777" w:rsidTr="00C46287">
        <w:tc>
          <w:tcPr>
            <w:tcW w:w="9629" w:type="dxa"/>
          </w:tcPr>
          <w:p w14:paraId="740D5E3B" w14:textId="79787DB7" w:rsidR="00DE332E" w:rsidRPr="00DE332E" w:rsidRDefault="00DE332E" w:rsidP="00DE332E">
            <w:pPr>
              <w:widowControl w:val="0"/>
              <w:rPr>
                <w:i/>
                <w:iCs/>
              </w:rPr>
            </w:pPr>
            <w:bookmarkStart w:id="2" w:name="_Hlk71481326"/>
            <w:r w:rsidRPr="00DE332E">
              <w:rPr>
                <w:i/>
                <w:iCs/>
              </w:rPr>
              <w:t>Test tolerance</w:t>
            </w:r>
          </w:p>
          <w:p w14:paraId="7B992E1C" w14:textId="4CA5146C" w:rsidR="00DE332E" w:rsidRPr="00DE332E" w:rsidRDefault="00DE332E" w:rsidP="00DE332E">
            <w:pPr>
              <w:pStyle w:val="ListParagraph"/>
              <w:widowControl w:val="0"/>
              <w:numPr>
                <w:ilvl w:val="0"/>
                <w:numId w:val="23"/>
              </w:numPr>
              <w:rPr>
                <w:rFonts w:ascii="Times New Roman" w:hAnsi="Times New Roman"/>
                <w:i/>
                <w:iCs/>
                <w:sz w:val="20"/>
                <w:szCs w:val="20"/>
                <w:lang w:val="en-GB"/>
              </w:rPr>
            </w:pPr>
            <w:r w:rsidRPr="00DE332E">
              <w:rPr>
                <w:rFonts w:ascii="Times New Roman" w:hAnsi="Times New Roman"/>
                <w:i/>
                <w:iCs/>
                <w:sz w:val="20"/>
                <w:szCs w:val="20"/>
                <w:lang w:val="en-GB"/>
              </w:rPr>
              <w:t>Option 1: TT=0.3dB for static channel, TT=0.6dB for fading channel for both conducted and radiated testing.</w:t>
            </w:r>
          </w:p>
          <w:p w14:paraId="1EE9BA3C" w14:textId="3E8AEEAB" w:rsidR="00565A53" w:rsidRPr="00D87436" w:rsidRDefault="00DE332E" w:rsidP="00DE332E">
            <w:pPr>
              <w:pStyle w:val="ListParagraph"/>
              <w:widowControl w:val="0"/>
              <w:numPr>
                <w:ilvl w:val="0"/>
                <w:numId w:val="23"/>
              </w:numPr>
              <w:rPr>
                <w:b/>
                <w:bCs/>
                <w:u w:val="single"/>
              </w:rPr>
            </w:pPr>
            <w:r w:rsidRPr="00DE332E">
              <w:rPr>
                <w:rFonts w:ascii="Times New Roman" w:hAnsi="Times New Roman"/>
                <w:i/>
                <w:iCs/>
                <w:sz w:val="20"/>
                <w:szCs w:val="20"/>
                <w:lang w:val="en-GB"/>
              </w:rPr>
              <w:t>Option 2: Reuse UE TT values from TS 38.521-4</w:t>
            </w:r>
          </w:p>
        </w:tc>
      </w:tr>
    </w:tbl>
    <w:bookmarkEnd w:id="2"/>
    <w:p w14:paraId="7AB5992B" w14:textId="6A7A3EFB" w:rsidR="00F94C76" w:rsidRDefault="00F94C76" w:rsidP="00565A53">
      <w:pPr>
        <w:widowControl w:val="0"/>
        <w:rPr>
          <w:rFonts w:eastAsiaTheme="minorEastAsia"/>
          <w:lang w:eastAsia="zh-CN"/>
        </w:rPr>
      </w:pPr>
      <w:r>
        <w:rPr>
          <w:rFonts w:eastAsiaTheme="minorEastAsia"/>
          <w:lang w:eastAsia="zh-CN"/>
        </w:rPr>
        <w:t xml:space="preserve">The first option refers to </w:t>
      </w:r>
      <w:r w:rsidR="00840731">
        <w:rPr>
          <w:rFonts w:eastAsiaTheme="minorEastAsia"/>
          <w:lang w:eastAsia="zh-CN"/>
        </w:rPr>
        <w:t xml:space="preserve">the </w:t>
      </w:r>
      <w:r>
        <w:rPr>
          <w:rFonts w:eastAsiaTheme="minorEastAsia"/>
          <w:lang w:eastAsia="zh-CN"/>
        </w:rPr>
        <w:t xml:space="preserve">BS conformance testing while second option refers to </w:t>
      </w:r>
      <w:r w:rsidR="00840731">
        <w:rPr>
          <w:rFonts w:eastAsiaTheme="minorEastAsia"/>
          <w:lang w:eastAsia="zh-CN"/>
        </w:rPr>
        <w:t xml:space="preserve">the </w:t>
      </w:r>
      <w:r>
        <w:rPr>
          <w:rFonts w:eastAsiaTheme="minorEastAsia"/>
          <w:lang w:eastAsia="zh-CN"/>
        </w:rPr>
        <w:t>UE conformance testing</w:t>
      </w:r>
      <w:r w:rsidR="0048527C">
        <w:rPr>
          <w:rFonts w:eastAsiaTheme="minorEastAsia"/>
          <w:lang w:eastAsia="zh-CN"/>
        </w:rPr>
        <w:t xml:space="preserve"> with higher test tolerance values compared to the first one</w:t>
      </w:r>
      <w:r>
        <w:rPr>
          <w:rFonts w:eastAsiaTheme="minorEastAsia"/>
          <w:lang w:eastAsia="zh-CN"/>
        </w:rPr>
        <w:t>.</w:t>
      </w:r>
      <w:r w:rsidR="0006731F">
        <w:rPr>
          <w:rFonts w:eastAsiaTheme="minorEastAsia"/>
          <w:lang w:eastAsia="zh-CN"/>
        </w:rPr>
        <w:t xml:space="preserve"> It was agreed that IAB specification should allow different testing </w:t>
      </w:r>
      <w:r w:rsidR="0006731F">
        <w:rPr>
          <w:rFonts w:eastAsiaTheme="minorEastAsia"/>
          <w:lang w:eastAsia="zh-CN"/>
        </w:rPr>
        <w:lastRenderedPageBreak/>
        <w:t xml:space="preserve">approaches and UE </w:t>
      </w:r>
      <w:r w:rsidR="00E34C86">
        <w:rPr>
          <w:rFonts w:eastAsiaTheme="minorEastAsia"/>
          <w:lang w:eastAsia="zh-CN"/>
        </w:rPr>
        <w:t xml:space="preserve">test style is not precluded even it is not a baseline assumption. In </w:t>
      </w:r>
      <w:r w:rsidR="002D7A2B">
        <w:rPr>
          <w:rFonts w:eastAsiaTheme="minorEastAsia"/>
          <w:lang w:eastAsia="zh-CN"/>
        </w:rPr>
        <w:t xml:space="preserve">this case for IAB-MT testing we should define test tolerance values based on the worst case among </w:t>
      </w:r>
      <w:r w:rsidR="00FD49AB">
        <w:rPr>
          <w:rFonts w:eastAsiaTheme="minorEastAsia"/>
          <w:lang w:eastAsia="zh-CN"/>
        </w:rPr>
        <w:t xml:space="preserve">values for </w:t>
      </w:r>
      <w:r w:rsidR="002D7A2B">
        <w:rPr>
          <w:rFonts w:eastAsiaTheme="minorEastAsia"/>
          <w:lang w:eastAsia="zh-CN"/>
        </w:rPr>
        <w:t>BS and UE</w:t>
      </w:r>
      <w:r w:rsidR="00FD49AB">
        <w:rPr>
          <w:rFonts w:eastAsiaTheme="minorEastAsia"/>
          <w:lang w:eastAsia="zh-CN"/>
        </w:rPr>
        <w:t xml:space="preserve">. Otherwise </w:t>
      </w:r>
      <w:r w:rsidR="00183014">
        <w:rPr>
          <w:rFonts w:eastAsiaTheme="minorEastAsia"/>
          <w:lang w:eastAsia="zh-CN"/>
        </w:rPr>
        <w:t>we will set st</w:t>
      </w:r>
      <w:r w:rsidR="00622D90">
        <w:rPr>
          <w:rFonts w:eastAsiaTheme="minorEastAsia"/>
          <w:lang w:eastAsia="zh-CN"/>
        </w:rPr>
        <w:t>rong</w:t>
      </w:r>
      <w:r w:rsidR="00183014">
        <w:rPr>
          <w:rFonts w:eastAsiaTheme="minorEastAsia"/>
          <w:lang w:eastAsia="zh-CN"/>
        </w:rPr>
        <w:t xml:space="preserve"> limitations on IAB-MT testing approach </w:t>
      </w:r>
      <w:r w:rsidR="00622D90">
        <w:rPr>
          <w:rFonts w:eastAsiaTheme="minorEastAsia"/>
          <w:lang w:eastAsia="zh-CN"/>
        </w:rPr>
        <w:t>and define barriers for UE testing style. Therefore, we suggest considering Option 2 and reuse UE test tolerance values.</w:t>
      </w:r>
    </w:p>
    <w:p w14:paraId="36E27817" w14:textId="33CC3448" w:rsidR="00BC7DB8" w:rsidRPr="009375C7" w:rsidRDefault="009375C7" w:rsidP="009375C7">
      <w:pPr>
        <w:pStyle w:val="Proposal1"/>
      </w:pPr>
      <w:r w:rsidRPr="009A4AD2">
        <w:t>Proposal #</w:t>
      </w:r>
      <w:r>
        <w:t>2</w:t>
      </w:r>
      <w:r w:rsidRPr="009A4AD2">
        <w:t xml:space="preserve">: </w:t>
      </w:r>
      <w:r w:rsidRPr="009A4AD2">
        <w:tab/>
      </w:r>
      <w:r w:rsidR="00622D90" w:rsidRPr="00622D90">
        <w:t xml:space="preserve">Reuse </w:t>
      </w:r>
      <w:r w:rsidR="00622D90">
        <w:t>test tolerance</w:t>
      </w:r>
      <w:r w:rsidR="00622D90" w:rsidRPr="00622D90">
        <w:t xml:space="preserve"> values from TS 38.521-4</w:t>
      </w:r>
      <w:r w:rsidR="00622D90">
        <w:t xml:space="preserve"> for IAB-MT testing</w:t>
      </w:r>
      <w:r w:rsidRPr="009A4AD2">
        <w:t>.</w:t>
      </w:r>
    </w:p>
    <w:p w14:paraId="2EA758B7" w14:textId="42F2A0B1" w:rsidR="00BC7DB8" w:rsidRDefault="00BC7DB8" w:rsidP="00B360AE">
      <w:pPr>
        <w:widowControl w:val="0"/>
        <w:rPr>
          <w:b/>
          <w:bCs/>
          <w:u w:val="single"/>
        </w:rPr>
      </w:pPr>
    </w:p>
    <w:p w14:paraId="073D1677" w14:textId="7B02796B" w:rsidR="00BE24E4" w:rsidRDefault="00C20D85" w:rsidP="00C20D85">
      <w:pPr>
        <w:widowControl w:val="0"/>
        <w:rPr>
          <w:b/>
          <w:bCs/>
          <w:u w:val="single"/>
        </w:rPr>
      </w:pPr>
      <w:r>
        <w:rPr>
          <w:b/>
          <w:bCs/>
          <w:u w:val="single"/>
        </w:rPr>
        <w:t>Test configuration for PMI and RI reporting requirements</w:t>
      </w:r>
    </w:p>
    <w:p w14:paraId="28F8ED97" w14:textId="307E3ED5" w:rsidR="007460EF" w:rsidRDefault="00415F6C" w:rsidP="00C20D85">
      <w:pPr>
        <w:widowControl w:val="0"/>
        <w:rPr>
          <w:rFonts w:eastAsiaTheme="minorEastAsia"/>
          <w:lang w:eastAsia="zh-CN"/>
        </w:rPr>
      </w:pPr>
      <w:r w:rsidRPr="00415F6C">
        <w:rPr>
          <w:rFonts w:eastAsiaTheme="minorEastAsia"/>
          <w:lang w:eastAsia="zh-CN"/>
        </w:rPr>
        <w:t xml:space="preserve">Configurations of </w:t>
      </w:r>
      <w:r w:rsidR="007640B9" w:rsidRPr="00415F6C">
        <w:rPr>
          <w:rFonts w:eastAsiaTheme="minorEastAsia"/>
          <w:lang w:eastAsia="zh-CN"/>
        </w:rPr>
        <w:t xml:space="preserve">CSI-RS resource type and report config for PMI and RI reporting test cases </w:t>
      </w:r>
      <w:r w:rsidRPr="00415F6C">
        <w:rPr>
          <w:rFonts w:eastAsiaTheme="minorEastAsia"/>
          <w:lang w:eastAsia="zh-CN"/>
        </w:rPr>
        <w:t>are still open:</w:t>
      </w:r>
    </w:p>
    <w:tbl>
      <w:tblPr>
        <w:tblStyle w:val="TableGrid"/>
        <w:tblW w:w="0" w:type="auto"/>
        <w:tblLook w:val="04A0" w:firstRow="1" w:lastRow="0" w:firstColumn="1" w:lastColumn="0" w:noHBand="0" w:noVBand="1"/>
      </w:tblPr>
      <w:tblGrid>
        <w:gridCol w:w="9629"/>
      </w:tblGrid>
      <w:tr w:rsidR="00415F6C" w14:paraId="0262DA06" w14:textId="77777777" w:rsidTr="002921FA">
        <w:tc>
          <w:tcPr>
            <w:tcW w:w="9629" w:type="dxa"/>
          </w:tcPr>
          <w:p w14:paraId="5E1E2011" w14:textId="31CC5E15" w:rsidR="00993CE7" w:rsidRPr="00993CE7" w:rsidRDefault="00993CE7" w:rsidP="00993CE7">
            <w:pPr>
              <w:widowControl w:val="0"/>
              <w:rPr>
                <w:i/>
                <w:iCs/>
              </w:rPr>
            </w:pPr>
            <w:r w:rsidRPr="00993CE7">
              <w:rPr>
                <w:i/>
                <w:iCs/>
              </w:rPr>
              <w:t>PMI</w:t>
            </w:r>
            <w:r w:rsidR="00D20576">
              <w:rPr>
                <w:i/>
                <w:iCs/>
              </w:rPr>
              <w:t>/RI</w:t>
            </w:r>
            <w:r w:rsidRPr="00993CE7">
              <w:rPr>
                <w:i/>
                <w:iCs/>
              </w:rPr>
              <w:t xml:space="preserve"> CSI-RS Resource type and report config</w:t>
            </w:r>
          </w:p>
          <w:p w14:paraId="69D19416" w14:textId="6DA7D615" w:rsidR="0024452F" w:rsidRDefault="00993CE7" w:rsidP="00993CE7">
            <w:pPr>
              <w:pStyle w:val="ListParagraph"/>
              <w:widowControl w:val="0"/>
              <w:numPr>
                <w:ilvl w:val="0"/>
                <w:numId w:val="25"/>
              </w:numPr>
              <w:rPr>
                <w:rFonts w:ascii="Times New Roman" w:hAnsi="Times New Roman"/>
                <w:i/>
                <w:iCs/>
                <w:sz w:val="20"/>
                <w:szCs w:val="20"/>
              </w:rPr>
            </w:pPr>
            <w:r w:rsidRPr="0024452F">
              <w:rPr>
                <w:rFonts w:ascii="Times New Roman" w:hAnsi="Times New Roman"/>
                <w:i/>
                <w:iCs/>
                <w:sz w:val="20"/>
                <w:szCs w:val="20"/>
              </w:rPr>
              <w:t>“Adopt PMI</w:t>
            </w:r>
            <w:r w:rsidR="006C760B">
              <w:rPr>
                <w:rFonts w:ascii="Times New Roman" w:hAnsi="Times New Roman"/>
                <w:i/>
                <w:iCs/>
                <w:sz w:val="20"/>
                <w:szCs w:val="20"/>
              </w:rPr>
              <w:t>/RI</w:t>
            </w:r>
            <w:r w:rsidRPr="0024452F">
              <w:rPr>
                <w:rFonts w:ascii="Times New Roman" w:hAnsi="Times New Roman"/>
                <w:i/>
                <w:iCs/>
                <w:sz w:val="20"/>
                <w:szCs w:val="20"/>
              </w:rPr>
              <w:t xml:space="preserve"> reporting requirements as they exist in 38.101-4”, means to take the same gamma values from 38.101-4. </w:t>
            </w:r>
          </w:p>
          <w:p w14:paraId="4026EA0D" w14:textId="2EEA33CA" w:rsidR="00993CE7" w:rsidRPr="0024452F" w:rsidRDefault="00993CE7" w:rsidP="00993CE7">
            <w:pPr>
              <w:pStyle w:val="ListParagraph"/>
              <w:widowControl w:val="0"/>
              <w:numPr>
                <w:ilvl w:val="0"/>
                <w:numId w:val="25"/>
              </w:numPr>
              <w:rPr>
                <w:rFonts w:ascii="Times New Roman" w:hAnsi="Times New Roman"/>
                <w:i/>
                <w:iCs/>
                <w:sz w:val="20"/>
                <w:szCs w:val="20"/>
              </w:rPr>
            </w:pPr>
            <w:r w:rsidRPr="0024452F">
              <w:rPr>
                <w:rFonts w:ascii="Times New Roman" w:hAnsi="Times New Roman"/>
                <w:i/>
                <w:iCs/>
                <w:sz w:val="20"/>
                <w:szCs w:val="20"/>
              </w:rPr>
              <w:t>FFS</w:t>
            </w:r>
          </w:p>
          <w:p w14:paraId="2FEDCA38" w14:textId="4F17F43D" w:rsidR="00993CE7" w:rsidRPr="0024452F" w:rsidRDefault="00993CE7" w:rsidP="00C749E2">
            <w:pPr>
              <w:pStyle w:val="ListParagraph"/>
              <w:widowControl w:val="0"/>
              <w:numPr>
                <w:ilvl w:val="1"/>
                <w:numId w:val="25"/>
              </w:numPr>
              <w:rPr>
                <w:rFonts w:ascii="Times New Roman" w:hAnsi="Times New Roman"/>
                <w:i/>
                <w:iCs/>
                <w:sz w:val="20"/>
                <w:szCs w:val="20"/>
              </w:rPr>
            </w:pPr>
            <w:r w:rsidRPr="0024452F">
              <w:rPr>
                <w:rFonts w:ascii="Times New Roman" w:hAnsi="Times New Roman"/>
                <w:i/>
                <w:iCs/>
                <w:sz w:val="20"/>
                <w:szCs w:val="20"/>
              </w:rPr>
              <w:t>Option 1: Adopt PMI</w:t>
            </w:r>
            <w:r w:rsidR="00D20576">
              <w:rPr>
                <w:rFonts w:ascii="Times New Roman" w:hAnsi="Times New Roman"/>
                <w:i/>
                <w:iCs/>
                <w:sz w:val="20"/>
                <w:szCs w:val="20"/>
              </w:rPr>
              <w:t>/RI</w:t>
            </w:r>
            <w:r w:rsidRPr="0024452F">
              <w:rPr>
                <w:rFonts w:ascii="Times New Roman" w:hAnsi="Times New Roman"/>
                <w:i/>
                <w:iCs/>
                <w:sz w:val="20"/>
                <w:szCs w:val="20"/>
              </w:rPr>
              <w:t xml:space="preserve"> reporting requirements as they exist in 38.101-4.</w:t>
            </w:r>
          </w:p>
          <w:p w14:paraId="5073837C" w14:textId="77777777" w:rsidR="00993CE7" w:rsidRPr="0024452F" w:rsidRDefault="00993CE7" w:rsidP="00C749E2">
            <w:pPr>
              <w:pStyle w:val="ListParagraph"/>
              <w:widowControl w:val="0"/>
              <w:numPr>
                <w:ilvl w:val="1"/>
                <w:numId w:val="25"/>
              </w:numPr>
              <w:rPr>
                <w:rFonts w:ascii="Times New Roman" w:hAnsi="Times New Roman"/>
                <w:i/>
                <w:iCs/>
                <w:sz w:val="20"/>
                <w:szCs w:val="20"/>
              </w:rPr>
            </w:pPr>
            <w:r w:rsidRPr="0024452F">
              <w:rPr>
                <w:rFonts w:ascii="Times New Roman" w:hAnsi="Times New Roman"/>
                <w:i/>
                <w:iCs/>
                <w:sz w:val="20"/>
                <w:szCs w:val="20"/>
              </w:rPr>
              <w:t>Option 2: Test parameters should be still updated to be compliant with the BS testing approach. Periodic CSI-RS resource and reporting type is preferred.</w:t>
            </w:r>
          </w:p>
          <w:p w14:paraId="7A880E46" w14:textId="77777777" w:rsidR="00993CE7" w:rsidRPr="0024452F" w:rsidRDefault="00993CE7" w:rsidP="00C749E2">
            <w:pPr>
              <w:pStyle w:val="ListParagraph"/>
              <w:widowControl w:val="0"/>
              <w:numPr>
                <w:ilvl w:val="2"/>
                <w:numId w:val="25"/>
              </w:numPr>
              <w:rPr>
                <w:rFonts w:ascii="Times New Roman" w:hAnsi="Times New Roman"/>
                <w:i/>
                <w:iCs/>
                <w:sz w:val="20"/>
                <w:szCs w:val="20"/>
              </w:rPr>
            </w:pPr>
            <w:r w:rsidRPr="0024452F">
              <w:rPr>
                <w:rFonts w:ascii="Times New Roman" w:hAnsi="Times New Roman"/>
                <w:i/>
                <w:iCs/>
                <w:sz w:val="20"/>
                <w:szCs w:val="20"/>
              </w:rPr>
              <w:t>Option 2a: Change report configuration and CSI-RS resource type from aperiodic to periodic</w:t>
            </w:r>
          </w:p>
          <w:p w14:paraId="7119B5DD" w14:textId="509898A7" w:rsidR="00415F6C" w:rsidRPr="00D87436" w:rsidRDefault="00993CE7" w:rsidP="00C749E2">
            <w:pPr>
              <w:pStyle w:val="ListParagraph"/>
              <w:widowControl w:val="0"/>
              <w:numPr>
                <w:ilvl w:val="2"/>
                <w:numId w:val="25"/>
              </w:numPr>
              <w:rPr>
                <w:b/>
                <w:bCs/>
                <w:u w:val="single"/>
              </w:rPr>
            </w:pPr>
            <w:r w:rsidRPr="0024452F">
              <w:rPr>
                <w:rFonts w:ascii="Times New Roman" w:hAnsi="Times New Roman"/>
                <w:i/>
                <w:iCs/>
                <w:sz w:val="20"/>
                <w:szCs w:val="20"/>
              </w:rPr>
              <w:t>Option 2b: Limit requirements to only include periodic NZP CSI-RS and reporting</w:t>
            </w:r>
          </w:p>
        </w:tc>
      </w:tr>
    </w:tbl>
    <w:p w14:paraId="4C77C263" w14:textId="4B2D32CE" w:rsidR="0078260A" w:rsidRDefault="00323400" w:rsidP="00C20D85">
      <w:pPr>
        <w:widowControl w:val="0"/>
        <w:rPr>
          <w:rFonts w:eastAsiaTheme="minorEastAsia"/>
          <w:lang w:eastAsia="zh-CN"/>
        </w:rPr>
      </w:pPr>
      <w:r>
        <w:rPr>
          <w:rFonts w:eastAsiaTheme="minorEastAsia"/>
          <w:lang w:eastAsia="zh-CN"/>
        </w:rPr>
        <w:t xml:space="preserve">Only aperiodic configurations are used for PMI reporting test cases for TDD </w:t>
      </w:r>
      <w:r w:rsidR="00F16103">
        <w:rPr>
          <w:rFonts w:eastAsiaTheme="minorEastAsia"/>
          <w:lang w:eastAsia="zh-CN"/>
        </w:rPr>
        <w:t xml:space="preserve">for conducted and radiated requirements. Same time for RI reporting there is a differentiation between conducted and radiated </w:t>
      </w:r>
      <w:r w:rsidR="00F72843">
        <w:rPr>
          <w:rFonts w:eastAsiaTheme="minorEastAsia"/>
          <w:lang w:eastAsia="zh-CN"/>
        </w:rPr>
        <w:t>requirements in terms of CSI-RS resource type and report config.</w:t>
      </w:r>
    </w:p>
    <w:p w14:paraId="763D2F44" w14:textId="65019B54" w:rsidR="00415F6C" w:rsidRDefault="0078260A" w:rsidP="00C20D85">
      <w:pPr>
        <w:widowControl w:val="0"/>
        <w:rPr>
          <w:rFonts w:eastAsiaTheme="minorEastAsia"/>
          <w:lang w:eastAsia="zh-CN"/>
        </w:rPr>
      </w:pPr>
      <w:r>
        <w:rPr>
          <w:rFonts w:eastAsiaTheme="minorEastAsia"/>
          <w:lang w:eastAsia="zh-CN"/>
        </w:rPr>
        <w:t xml:space="preserve">Some companies mentioned that </w:t>
      </w:r>
      <w:r w:rsidR="00DC7C13">
        <w:rPr>
          <w:rFonts w:eastAsiaTheme="minorEastAsia"/>
          <w:lang w:eastAsia="zh-CN"/>
        </w:rPr>
        <w:t xml:space="preserve">periodic configuration </w:t>
      </w:r>
      <w:r w:rsidR="00CB187D">
        <w:rPr>
          <w:rFonts w:eastAsiaTheme="minorEastAsia"/>
          <w:lang w:eastAsia="zh-CN"/>
        </w:rPr>
        <w:t xml:space="preserve">will be more typical for backhaul link. </w:t>
      </w:r>
      <w:r w:rsidR="00EE192C">
        <w:rPr>
          <w:rFonts w:eastAsiaTheme="minorEastAsia"/>
          <w:lang w:eastAsia="zh-CN"/>
        </w:rPr>
        <w:t xml:space="preserve">Same time we can expect that most of the time </w:t>
      </w:r>
      <w:r w:rsidR="0035065C">
        <w:rPr>
          <w:rFonts w:eastAsiaTheme="minorEastAsia"/>
          <w:lang w:eastAsia="zh-CN"/>
        </w:rPr>
        <w:t xml:space="preserve">propagation conditions will be stable and </w:t>
      </w:r>
      <w:r w:rsidR="00D85197">
        <w:rPr>
          <w:rFonts w:eastAsiaTheme="minorEastAsia"/>
          <w:lang w:eastAsia="zh-CN"/>
        </w:rPr>
        <w:t>hence</w:t>
      </w:r>
      <w:r w:rsidR="0035065C">
        <w:rPr>
          <w:rFonts w:eastAsiaTheme="minorEastAsia"/>
          <w:lang w:eastAsia="zh-CN"/>
        </w:rPr>
        <w:t xml:space="preserve"> there is no need to waste resource</w:t>
      </w:r>
      <w:r w:rsidR="00FD12FB">
        <w:rPr>
          <w:rFonts w:eastAsiaTheme="minorEastAsia"/>
          <w:lang w:eastAsia="zh-CN"/>
        </w:rPr>
        <w:t>s</w:t>
      </w:r>
      <w:r w:rsidR="0035065C">
        <w:rPr>
          <w:rFonts w:eastAsiaTheme="minorEastAsia"/>
          <w:lang w:eastAsia="zh-CN"/>
        </w:rPr>
        <w:t xml:space="preserve"> with periodic CSI-RS configurations</w:t>
      </w:r>
      <w:r w:rsidR="00D85197">
        <w:rPr>
          <w:rFonts w:eastAsiaTheme="minorEastAsia"/>
          <w:lang w:eastAsia="zh-CN"/>
        </w:rPr>
        <w:t xml:space="preserve">. </w:t>
      </w:r>
      <w:r w:rsidR="00320FBF">
        <w:rPr>
          <w:rFonts w:eastAsiaTheme="minorEastAsia"/>
          <w:lang w:eastAsia="zh-CN"/>
        </w:rPr>
        <w:t>Therefore</w:t>
      </w:r>
      <w:r w:rsidR="003763A0">
        <w:rPr>
          <w:rFonts w:eastAsiaTheme="minorEastAsia"/>
          <w:lang w:eastAsia="zh-CN"/>
        </w:rPr>
        <w:t>,</w:t>
      </w:r>
      <w:r w:rsidR="00320FBF">
        <w:rPr>
          <w:rFonts w:eastAsiaTheme="minorEastAsia"/>
          <w:lang w:eastAsia="zh-CN"/>
        </w:rPr>
        <w:t xml:space="preserve"> we suggest tak</w:t>
      </w:r>
      <w:r w:rsidR="00607347">
        <w:rPr>
          <w:rFonts w:eastAsiaTheme="minorEastAsia"/>
          <w:lang w:eastAsia="zh-CN"/>
        </w:rPr>
        <w:t>ing</w:t>
      </w:r>
      <w:r w:rsidR="00320FBF">
        <w:rPr>
          <w:rFonts w:eastAsiaTheme="minorEastAsia"/>
          <w:lang w:eastAsia="zh-CN"/>
        </w:rPr>
        <w:t xml:space="preserve"> </w:t>
      </w:r>
      <w:r w:rsidR="003A1451">
        <w:rPr>
          <w:rFonts w:eastAsiaTheme="minorEastAsia"/>
          <w:lang w:eastAsia="zh-CN"/>
        </w:rPr>
        <w:t xml:space="preserve">requirements as they </w:t>
      </w:r>
      <w:r w:rsidR="00CD2311">
        <w:rPr>
          <w:rFonts w:eastAsiaTheme="minorEastAsia"/>
          <w:lang w:eastAsia="zh-CN"/>
        </w:rPr>
        <w:t>are</w:t>
      </w:r>
      <w:r w:rsidR="00B335FE">
        <w:rPr>
          <w:rFonts w:eastAsiaTheme="minorEastAsia"/>
          <w:lang w:eastAsia="zh-CN"/>
        </w:rPr>
        <w:t xml:space="preserve"> </w:t>
      </w:r>
      <w:r w:rsidR="006351A5">
        <w:rPr>
          <w:rFonts w:eastAsiaTheme="minorEastAsia"/>
          <w:lang w:eastAsia="zh-CN"/>
        </w:rPr>
        <w:t xml:space="preserve">- </w:t>
      </w:r>
      <w:r w:rsidR="00B335FE">
        <w:rPr>
          <w:rFonts w:eastAsiaTheme="minorEastAsia"/>
          <w:lang w:eastAsia="zh-CN"/>
        </w:rPr>
        <w:t xml:space="preserve">with different types of configurations and do not </w:t>
      </w:r>
      <w:r w:rsidR="00607347">
        <w:rPr>
          <w:rFonts w:eastAsiaTheme="minorEastAsia"/>
          <w:lang w:eastAsia="zh-CN"/>
        </w:rPr>
        <w:t>pursue</w:t>
      </w:r>
      <w:r w:rsidR="006351A5">
        <w:rPr>
          <w:rFonts w:eastAsiaTheme="minorEastAsia"/>
          <w:lang w:eastAsia="zh-CN"/>
        </w:rPr>
        <w:t xml:space="preserve"> </w:t>
      </w:r>
      <w:r w:rsidR="004C1480">
        <w:rPr>
          <w:rFonts w:eastAsiaTheme="minorEastAsia"/>
          <w:lang w:eastAsia="zh-CN"/>
        </w:rPr>
        <w:t>one of the possible configuration</w:t>
      </w:r>
      <w:r w:rsidR="00184A05">
        <w:rPr>
          <w:rFonts w:eastAsiaTheme="minorEastAsia"/>
          <w:lang w:eastAsia="zh-CN"/>
        </w:rPr>
        <w:t>s</w:t>
      </w:r>
      <w:r w:rsidR="004C1480">
        <w:rPr>
          <w:rFonts w:eastAsiaTheme="minorEastAsia"/>
          <w:lang w:eastAsia="zh-CN"/>
        </w:rPr>
        <w:t>.</w:t>
      </w:r>
    </w:p>
    <w:p w14:paraId="1BEC262B" w14:textId="69178AF2" w:rsidR="00D20576" w:rsidRPr="009375C7" w:rsidRDefault="00D20576" w:rsidP="00D20576">
      <w:pPr>
        <w:pStyle w:val="Proposal1"/>
      </w:pPr>
      <w:r w:rsidRPr="009A4AD2">
        <w:t>Proposal #</w:t>
      </w:r>
      <w:r>
        <w:t>3</w:t>
      </w:r>
      <w:r w:rsidRPr="009A4AD2">
        <w:t xml:space="preserve">: </w:t>
      </w:r>
      <w:r w:rsidRPr="009A4AD2">
        <w:tab/>
      </w:r>
      <w:r w:rsidRPr="00D20576">
        <w:t>Adopt PMI/RI reporting requirements as they exist in 38.101-4</w:t>
      </w:r>
      <w:r w:rsidRPr="009A4AD2">
        <w:t>.</w:t>
      </w:r>
    </w:p>
    <w:p w14:paraId="09B0D72F" w14:textId="77777777" w:rsidR="00D20576" w:rsidRPr="00415F6C" w:rsidRDefault="00D20576" w:rsidP="00C20D85">
      <w:pPr>
        <w:widowControl w:val="0"/>
        <w:rPr>
          <w:rFonts w:eastAsiaTheme="minorEastAsia"/>
          <w:lang w:eastAsia="zh-CN"/>
        </w:rPr>
      </w:pPr>
    </w:p>
    <w:p w14:paraId="0FE38768" w14:textId="5FBC49ED" w:rsidR="007460EF" w:rsidRPr="00033463" w:rsidRDefault="007460EF" w:rsidP="007460EF">
      <w:pPr>
        <w:widowControl w:val="0"/>
        <w:rPr>
          <w:b/>
          <w:bCs/>
          <w:u w:val="single"/>
        </w:rPr>
      </w:pPr>
      <w:r w:rsidRPr="00033463">
        <w:rPr>
          <w:b/>
          <w:bCs/>
          <w:u w:val="single"/>
        </w:rPr>
        <w:t>IAB-MT capabilities/features</w:t>
      </w:r>
    </w:p>
    <w:p w14:paraId="43EA1EAE" w14:textId="77777777" w:rsidR="0059726D" w:rsidRPr="00033463" w:rsidRDefault="00DF7DED" w:rsidP="00023A45">
      <w:pPr>
        <w:widowControl w:val="0"/>
        <w:rPr>
          <w:rFonts w:eastAsiaTheme="minorEastAsia"/>
          <w:lang w:eastAsia="zh-CN"/>
        </w:rPr>
      </w:pPr>
      <w:r w:rsidRPr="00033463">
        <w:rPr>
          <w:rFonts w:eastAsiaTheme="minorEastAsia"/>
          <w:lang w:eastAsia="zh-CN"/>
        </w:rPr>
        <w:t xml:space="preserve">Previous RAN4 meeting there was a discussion on </w:t>
      </w:r>
      <w:r w:rsidR="006812A6" w:rsidRPr="00033463">
        <w:rPr>
          <w:rFonts w:eastAsiaTheme="minorEastAsia"/>
          <w:lang w:eastAsia="zh-CN"/>
        </w:rPr>
        <w:t xml:space="preserve">capability/feature approach for IAB MT specification. </w:t>
      </w:r>
      <w:r w:rsidR="006A4F81" w:rsidRPr="00033463">
        <w:rPr>
          <w:rFonts w:eastAsiaTheme="minorEastAsia"/>
          <w:lang w:eastAsia="zh-CN"/>
        </w:rPr>
        <w:t xml:space="preserve">Most of the companies proposed to not consider it </w:t>
      </w:r>
      <w:r w:rsidR="00023A45" w:rsidRPr="00033463">
        <w:rPr>
          <w:rFonts w:eastAsiaTheme="minorEastAsia"/>
          <w:lang w:eastAsia="zh-CN"/>
        </w:rPr>
        <w:t>and handle as manufacturer declaration approach</w:t>
      </w:r>
      <w:r w:rsidR="001A0685" w:rsidRPr="00033463">
        <w:rPr>
          <w:rFonts w:eastAsiaTheme="minorEastAsia"/>
          <w:lang w:eastAsia="zh-CN"/>
        </w:rPr>
        <w:t xml:space="preserve">. </w:t>
      </w:r>
      <w:r w:rsidR="00BF3B40" w:rsidRPr="00033463">
        <w:rPr>
          <w:rFonts w:eastAsiaTheme="minorEastAsia"/>
          <w:lang w:eastAsia="zh-CN"/>
        </w:rPr>
        <w:t xml:space="preserve">It means that </w:t>
      </w:r>
      <w:r w:rsidR="005B622C" w:rsidRPr="00033463">
        <w:rPr>
          <w:rFonts w:eastAsiaTheme="minorEastAsia"/>
          <w:lang w:eastAsia="zh-CN"/>
        </w:rPr>
        <w:t>feature s</w:t>
      </w:r>
      <w:r w:rsidR="00023A45" w:rsidRPr="00033463">
        <w:rPr>
          <w:rFonts w:eastAsiaTheme="minorEastAsia"/>
          <w:lang w:eastAsia="zh-CN"/>
        </w:rPr>
        <w:t>upport and test applicability</w:t>
      </w:r>
      <w:r w:rsidR="005B622C" w:rsidRPr="00033463">
        <w:rPr>
          <w:rFonts w:eastAsiaTheme="minorEastAsia"/>
          <w:lang w:eastAsia="zh-CN"/>
        </w:rPr>
        <w:t xml:space="preserve"> will be</w:t>
      </w:r>
      <w:r w:rsidR="00023A45" w:rsidRPr="00033463">
        <w:rPr>
          <w:rFonts w:eastAsiaTheme="minorEastAsia"/>
          <w:lang w:eastAsia="zh-CN"/>
        </w:rPr>
        <w:t xml:space="preserve"> dependent on manufacturer feature declaration</w:t>
      </w:r>
      <w:r w:rsidR="005B622C" w:rsidRPr="00033463">
        <w:rPr>
          <w:rFonts w:eastAsiaTheme="minorEastAsia"/>
          <w:lang w:eastAsia="zh-CN"/>
        </w:rPr>
        <w:t xml:space="preserve">. </w:t>
      </w:r>
    </w:p>
    <w:p w14:paraId="7F94F0B7" w14:textId="347D1278" w:rsidR="007460EF" w:rsidRDefault="005B622C" w:rsidP="00782F40">
      <w:pPr>
        <w:widowControl w:val="0"/>
        <w:rPr>
          <w:rFonts w:eastAsiaTheme="minorEastAsia"/>
          <w:lang w:eastAsia="zh-CN"/>
        </w:rPr>
      </w:pPr>
      <w:r w:rsidRPr="00033463">
        <w:rPr>
          <w:rFonts w:eastAsiaTheme="minorEastAsia"/>
          <w:lang w:eastAsia="zh-CN"/>
        </w:rPr>
        <w:t xml:space="preserve">However, </w:t>
      </w:r>
      <w:r w:rsidR="008F016F" w:rsidRPr="00033463">
        <w:rPr>
          <w:rFonts w:eastAsiaTheme="minorEastAsia"/>
          <w:lang w:eastAsia="zh-CN"/>
        </w:rPr>
        <w:t xml:space="preserve">there are mandatory IAB-MT features with capability signalling that </w:t>
      </w:r>
      <w:r w:rsidR="004A4153" w:rsidRPr="00033463">
        <w:rPr>
          <w:rFonts w:eastAsiaTheme="minorEastAsia"/>
          <w:lang w:eastAsia="zh-CN"/>
        </w:rPr>
        <w:t xml:space="preserve">control test applicability for </w:t>
      </w:r>
      <w:proofErr w:type="gramStart"/>
      <w:r w:rsidR="004A4153" w:rsidRPr="00033463">
        <w:rPr>
          <w:rFonts w:eastAsiaTheme="minorEastAsia"/>
          <w:lang w:eastAsia="zh-CN"/>
        </w:rPr>
        <w:t>particular IAB</w:t>
      </w:r>
      <w:proofErr w:type="gramEnd"/>
      <w:r w:rsidR="004A4153" w:rsidRPr="00033463">
        <w:rPr>
          <w:rFonts w:eastAsiaTheme="minorEastAsia"/>
          <w:lang w:eastAsia="zh-CN"/>
        </w:rPr>
        <w:t xml:space="preserve"> node.</w:t>
      </w:r>
      <w:r w:rsidR="0059726D" w:rsidRPr="00033463">
        <w:rPr>
          <w:rFonts w:eastAsiaTheme="minorEastAsia"/>
          <w:lang w:eastAsia="zh-CN"/>
        </w:rPr>
        <w:t xml:space="preserve"> These </w:t>
      </w:r>
      <w:r w:rsidR="00CC122B" w:rsidRPr="00033463">
        <w:rPr>
          <w:rFonts w:eastAsiaTheme="minorEastAsia"/>
          <w:lang w:eastAsia="zh-CN"/>
        </w:rPr>
        <w:t>features are captured in TS 38.101-4 Table 5.1.1.4-1.</w:t>
      </w:r>
      <w:r w:rsidR="00CB0C7D" w:rsidRPr="00033463">
        <w:rPr>
          <w:rFonts w:eastAsiaTheme="minorEastAsia"/>
          <w:lang w:eastAsia="zh-CN"/>
        </w:rPr>
        <w:t xml:space="preserve"> </w:t>
      </w:r>
      <w:r w:rsidR="003167EE" w:rsidRPr="00033463">
        <w:rPr>
          <w:rFonts w:eastAsiaTheme="minorEastAsia"/>
          <w:lang w:eastAsia="zh-CN"/>
        </w:rPr>
        <w:t>For example</w:t>
      </w:r>
      <w:r w:rsidR="00033463" w:rsidRPr="00033463">
        <w:rPr>
          <w:rFonts w:eastAsiaTheme="minorEastAsia"/>
          <w:lang w:eastAsia="zh-CN"/>
        </w:rPr>
        <w:t>,</w:t>
      </w:r>
      <w:r w:rsidR="003167EE" w:rsidRPr="00033463">
        <w:rPr>
          <w:rFonts w:eastAsiaTheme="minorEastAsia"/>
          <w:lang w:eastAsia="zh-CN"/>
        </w:rPr>
        <w:t xml:space="preserve"> </w:t>
      </w:r>
      <w:r w:rsidR="00782F40" w:rsidRPr="00033463">
        <w:rPr>
          <w:rFonts w:eastAsiaTheme="minorEastAsia"/>
          <w:lang w:eastAsia="zh-CN"/>
        </w:rPr>
        <w:t xml:space="preserve">capability </w:t>
      </w:r>
      <w:r w:rsidR="00907D78" w:rsidRPr="00033463">
        <w:rPr>
          <w:rFonts w:eastAsiaTheme="minorEastAsia"/>
          <w:lang w:eastAsia="zh-CN"/>
        </w:rPr>
        <w:t>“</w:t>
      </w:r>
      <w:r w:rsidR="00782F40" w:rsidRPr="00033463">
        <w:rPr>
          <w:rFonts w:eastAsiaTheme="minorEastAsia"/>
          <w:lang w:eastAsia="zh-CN"/>
        </w:rPr>
        <w:t>Supported maximum number</w:t>
      </w:r>
      <w:r w:rsidR="00782F40" w:rsidRPr="00033463">
        <w:rPr>
          <w:rFonts w:eastAsiaTheme="minorEastAsia"/>
          <w:lang w:eastAsia="zh-CN"/>
        </w:rPr>
        <w:t xml:space="preserve"> </w:t>
      </w:r>
      <w:r w:rsidR="00782F40" w:rsidRPr="00033463">
        <w:rPr>
          <w:rFonts w:eastAsiaTheme="minorEastAsia"/>
          <w:lang w:eastAsia="zh-CN"/>
        </w:rPr>
        <w:t>of PDSCH MIMO layers</w:t>
      </w:r>
      <w:r w:rsidR="00907D78" w:rsidRPr="00033463">
        <w:rPr>
          <w:rFonts w:eastAsiaTheme="minorEastAsia"/>
          <w:lang w:eastAsia="zh-CN"/>
        </w:rPr>
        <w:t>”</w:t>
      </w:r>
      <w:r w:rsidR="00782F40" w:rsidRPr="00033463">
        <w:rPr>
          <w:rFonts w:eastAsiaTheme="minorEastAsia"/>
          <w:lang w:eastAsia="zh-CN"/>
        </w:rPr>
        <w:t xml:space="preserve"> determines </w:t>
      </w:r>
      <w:r w:rsidR="00240AF2" w:rsidRPr="00033463">
        <w:rPr>
          <w:rFonts w:eastAsiaTheme="minorEastAsia"/>
          <w:lang w:eastAsia="zh-CN"/>
        </w:rPr>
        <w:t>whether</w:t>
      </w:r>
      <w:r w:rsidR="00240AF2">
        <w:rPr>
          <w:rFonts w:eastAsiaTheme="minorEastAsia"/>
          <w:lang w:eastAsia="zh-CN"/>
        </w:rPr>
        <w:t xml:space="preserve"> requirements with higher than rank 1 Tx will be applied for UE.</w:t>
      </w:r>
    </w:p>
    <w:p w14:paraId="5554BF15" w14:textId="4D26C114" w:rsidR="00AD69E7" w:rsidRDefault="00AD69E7" w:rsidP="00782F40">
      <w:pPr>
        <w:widowControl w:val="0"/>
        <w:rPr>
          <w:rFonts w:eastAsiaTheme="minorEastAsia"/>
          <w:lang w:eastAsia="zh-CN"/>
        </w:rPr>
      </w:pPr>
      <w:r>
        <w:rPr>
          <w:rFonts w:eastAsiaTheme="minorEastAsia"/>
          <w:lang w:eastAsia="zh-CN"/>
        </w:rPr>
        <w:t xml:space="preserve">Since IAB-MT has the same mandatory features with capability signalling as UE we need to reuse the same </w:t>
      </w:r>
      <w:r w:rsidR="009A4E93">
        <w:rPr>
          <w:rFonts w:eastAsiaTheme="minorEastAsia"/>
          <w:lang w:eastAsia="zh-CN"/>
        </w:rPr>
        <w:t xml:space="preserve">test applicability mechanism as captured in </w:t>
      </w:r>
      <w:r w:rsidR="009A4E93" w:rsidRPr="009A4E93">
        <w:rPr>
          <w:rFonts w:eastAsiaTheme="minorEastAsia"/>
          <w:lang w:eastAsia="zh-CN"/>
        </w:rPr>
        <w:t>TS 38.101-4</w:t>
      </w:r>
      <w:r w:rsidR="0067609F">
        <w:rPr>
          <w:rFonts w:eastAsiaTheme="minorEastAsia"/>
          <w:lang w:eastAsia="zh-CN"/>
        </w:rPr>
        <w:t xml:space="preserve"> clauses 5.1.1.4 and 7.1.1.4.</w:t>
      </w:r>
    </w:p>
    <w:p w14:paraId="64CDD09D" w14:textId="7C466AD3" w:rsidR="00F311F6" w:rsidRPr="009375C7" w:rsidRDefault="00F311F6" w:rsidP="00F311F6">
      <w:pPr>
        <w:pStyle w:val="Proposal1"/>
      </w:pPr>
      <w:r w:rsidRPr="009A4AD2">
        <w:t>Proposal #</w:t>
      </w:r>
      <w:r w:rsidR="00033463">
        <w:t>4</w:t>
      </w:r>
      <w:r w:rsidRPr="009A4AD2">
        <w:t xml:space="preserve">: </w:t>
      </w:r>
      <w:r w:rsidRPr="009A4AD2">
        <w:tab/>
      </w:r>
      <w:r>
        <w:t xml:space="preserve">Adopt similar test applicability procedure for mandatory IAB-MT features with capability signalling as </w:t>
      </w:r>
      <w:r w:rsidR="00033463">
        <w:t xml:space="preserve">used for UE. (Reuse </w:t>
      </w:r>
      <w:r w:rsidR="00033463" w:rsidRPr="00033463">
        <w:t>TS 38.101-4 clauses 5.1.1.4 and 7.1.1.4.</w:t>
      </w:r>
      <w:r w:rsidR="00033463">
        <w:t>)</w:t>
      </w:r>
    </w:p>
    <w:p w14:paraId="62CA083C" w14:textId="77777777" w:rsidR="00F311F6" w:rsidRPr="00DF7DED" w:rsidRDefault="00F311F6" w:rsidP="00782F40">
      <w:pPr>
        <w:widowControl w:val="0"/>
        <w:rPr>
          <w:rFonts w:eastAsiaTheme="minorEastAsia"/>
          <w:lang w:eastAsia="zh-CN"/>
        </w:rPr>
      </w:pPr>
    </w:p>
    <w:p w14:paraId="7D45A7C8" w14:textId="77777777" w:rsidR="000D4B18" w:rsidRPr="00146B4F" w:rsidRDefault="000D4B18" w:rsidP="00422531">
      <w:pPr>
        <w:pStyle w:val="Heading1"/>
      </w:pPr>
      <w:r w:rsidRPr="00146B4F">
        <w:t>Conclusion</w:t>
      </w:r>
    </w:p>
    <w:p w14:paraId="7442AFB2" w14:textId="35DD4AFD" w:rsidR="00131E05" w:rsidRDefault="00DC2D0E" w:rsidP="007C0360">
      <w:pPr>
        <w:tabs>
          <w:tab w:val="left" w:pos="709"/>
        </w:tabs>
        <w:spacing w:before="60" w:after="60"/>
      </w:pPr>
      <w:r w:rsidRPr="000550ED">
        <w:t xml:space="preserve">In this </w:t>
      </w:r>
      <w:r w:rsidR="00F42C0A" w:rsidRPr="000550ED">
        <w:t>contribution</w:t>
      </w:r>
      <w:r w:rsidRPr="000550ED">
        <w:t xml:space="preserve"> </w:t>
      </w:r>
      <w:r w:rsidR="00F42C0A" w:rsidRPr="000550ED">
        <w:t>we prov</w:t>
      </w:r>
      <w:r w:rsidR="005A0FAA" w:rsidRPr="000550ED">
        <w:t>ide</w:t>
      </w:r>
      <w:r w:rsidR="00F42C0A" w:rsidRPr="000550ED">
        <w:t xml:space="preserve"> our view</w:t>
      </w:r>
      <w:r w:rsidR="00BE109D" w:rsidRPr="000550ED">
        <w:t>s</w:t>
      </w:r>
      <w:r w:rsidR="00F42C0A" w:rsidRPr="000550ED">
        <w:t xml:space="preserve"> </w:t>
      </w:r>
      <w:r w:rsidR="005A0FAA" w:rsidRPr="000550ED">
        <w:t xml:space="preserve">on </w:t>
      </w:r>
      <w:r w:rsidR="00B802F3" w:rsidRPr="000550ED">
        <w:t>IAB-</w:t>
      </w:r>
      <w:r w:rsidR="000550ED" w:rsidRPr="000550ED">
        <w:t>MT</w:t>
      </w:r>
      <w:r w:rsidR="00B802F3" w:rsidRPr="000550ED">
        <w:t xml:space="preserve"> performance requirements</w:t>
      </w:r>
      <w:r w:rsidR="005A0FAA" w:rsidRPr="000550ED">
        <w:t>. In summary, we make the following proposals:</w:t>
      </w:r>
    </w:p>
    <w:p w14:paraId="2FF7707F" w14:textId="1C673E59" w:rsidR="00D81E09" w:rsidRDefault="00033463" w:rsidP="00D81E09">
      <w:pPr>
        <w:pStyle w:val="Proposal1"/>
      </w:pPr>
      <w:r w:rsidRPr="009A4AD2">
        <w:t xml:space="preserve">Proposal #1: </w:t>
      </w:r>
      <w:r w:rsidRPr="009A4AD2">
        <w:tab/>
      </w:r>
      <w:r>
        <w:t>Remove one of the outlier results for PDCCH test cases 3 to have less than 2.5 dB span among companies. Remove outlier that has more misalignment with other companies (Contribute to bigger span)</w:t>
      </w:r>
    </w:p>
    <w:p w14:paraId="3FCF98F3" w14:textId="0B8FFB62" w:rsidR="00033463" w:rsidRDefault="00033463" w:rsidP="00D81E09">
      <w:pPr>
        <w:pStyle w:val="Proposal1"/>
      </w:pPr>
      <w:r w:rsidRPr="009A4AD2">
        <w:lastRenderedPageBreak/>
        <w:t>Proposal #</w:t>
      </w:r>
      <w:r>
        <w:t>2</w:t>
      </w:r>
      <w:r w:rsidRPr="009A4AD2">
        <w:t xml:space="preserve">: </w:t>
      </w:r>
      <w:r w:rsidRPr="009A4AD2">
        <w:tab/>
      </w:r>
      <w:r w:rsidRPr="00622D90">
        <w:t xml:space="preserve">Reuse </w:t>
      </w:r>
      <w:r>
        <w:t>test tolerance</w:t>
      </w:r>
      <w:r w:rsidRPr="00622D90">
        <w:t xml:space="preserve"> values from TS 38.521-4</w:t>
      </w:r>
      <w:r>
        <w:t xml:space="preserve"> for IAB-MT testing</w:t>
      </w:r>
      <w:r>
        <w:t>.</w:t>
      </w:r>
    </w:p>
    <w:p w14:paraId="2DABA2B6" w14:textId="4EF5B3DE" w:rsidR="00033463" w:rsidRDefault="00033463" w:rsidP="00D81E09">
      <w:pPr>
        <w:pStyle w:val="Proposal1"/>
      </w:pPr>
      <w:r w:rsidRPr="009A4AD2">
        <w:t>Proposal #</w:t>
      </w:r>
      <w:r>
        <w:t>3</w:t>
      </w:r>
      <w:r w:rsidRPr="009A4AD2">
        <w:t xml:space="preserve">: </w:t>
      </w:r>
      <w:r w:rsidRPr="009A4AD2">
        <w:tab/>
      </w:r>
      <w:r w:rsidRPr="00D20576">
        <w:t>Adopt PMI/RI reporting requirements as they exist in 38.101-4</w:t>
      </w:r>
      <w:r>
        <w:t>.</w:t>
      </w:r>
    </w:p>
    <w:p w14:paraId="42B8B15A" w14:textId="77777777" w:rsidR="00033463" w:rsidRPr="009375C7" w:rsidRDefault="00033463" w:rsidP="00033463">
      <w:pPr>
        <w:pStyle w:val="Proposal1"/>
      </w:pPr>
      <w:r w:rsidRPr="009A4AD2">
        <w:t>Proposal #</w:t>
      </w:r>
      <w:r>
        <w:t>4</w:t>
      </w:r>
      <w:r w:rsidRPr="009A4AD2">
        <w:t xml:space="preserve">: </w:t>
      </w:r>
      <w:r w:rsidRPr="009A4AD2">
        <w:tab/>
      </w:r>
      <w:r>
        <w:t xml:space="preserve">Adopt similar test applicability procedure for mandatory IAB-MT features with capability signalling as used for UE. (Reuse </w:t>
      </w:r>
      <w:r w:rsidRPr="00033463">
        <w:t>TS 38.101-4 clauses 5.1.1.4 and 7.1.1.4.</w:t>
      </w:r>
      <w: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03835563" w14:textId="3D284C82" w:rsidR="00133B32" w:rsidRPr="00F04BE6" w:rsidRDefault="005E32CD" w:rsidP="00F04BE6">
      <w:pPr>
        <w:widowControl w:val="0"/>
        <w:numPr>
          <w:ilvl w:val="0"/>
          <w:numId w:val="2"/>
        </w:numPr>
        <w:jc w:val="left"/>
        <w:textAlignment w:val="auto"/>
      </w:pPr>
      <w:bookmarkStart w:id="3" w:name="_Ref21009160"/>
      <w:bookmarkStart w:id="4" w:name="_Ref54386828"/>
      <w:bookmarkStart w:id="5" w:name="_Hlk21019686"/>
      <w:bookmarkStart w:id="6" w:name="_Ref20910096"/>
      <w:r w:rsidRPr="005E32CD">
        <w:t xml:space="preserve">R4-2106088 </w:t>
      </w:r>
      <w:r w:rsidR="00F04BE6" w:rsidRPr="002C6CD4">
        <w:t>“WF on Rel-16 NR IAB demodulation requirements”, Nokia, Nokia Shanghai Bell, RAN #9</w:t>
      </w:r>
      <w:r w:rsidR="00D81E09">
        <w:t>8</w:t>
      </w:r>
      <w:r w:rsidR="00613FC7">
        <w:t>-bis-</w:t>
      </w:r>
      <w:r w:rsidR="00F04BE6" w:rsidRPr="002C6CD4">
        <w:t xml:space="preserve">e, </w:t>
      </w:r>
      <w:r w:rsidR="00ED4D6D">
        <w:t>April</w:t>
      </w:r>
      <w:r w:rsidR="00F04BE6" w:rsidRPr="002C6CD4">
        <w:t xml:space="preserve"> 20</w:t>
      </w:r>
      <w:bookmarkEnd w:id="3"/>
      <w:r w:rsidR="00F04BE6" w:rsidRPr="002C6CD4">
        <w:t>2</w:t>
      </w:r>
      <w:bookmarkEnd w:id="4"/>
      <w:bookmarkEnd w:id="5"/>
      <w:bookmarkEnd w:id="6"/>
      <w:r w:rsidR="00ED4D6D">
        <w:t>1</w:t>
      </w:r>
    </w:p>
    <w:sectPr w:rsidR="00133B32" w:rsidRPr="00F04BE6"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19842" w14:textId="77777777" w:rsidR="00A43A34" w:rsidRDefault="00A43A34">
      <w:r>
        <w:separator/>
      </w:r>
    </w:p>
  </w:endnote>
  <w:endnote w:type="continuationSeparator" w:id="0">
    <w:p w14:paraId="727431FD" w14:textId="77777777" w:rsidR="00A43A34" w:rsidRDefault="00A43A34">
      <w:r>
        <w:continuationSeparator/>
      </w:r>
    </w:p>
  </w:endnote>
  <w:endnote w:type="continuationNotice" w:id="1">
    <w:p w14:paraId="3DF059A9" w14:textId="77777777" w:rsidR="00A43A34" w:rsidRDefault="00A43A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DF0DD2" w:rsidRDefault="00DF0D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DF0DD2" w:rsidRDefault="00DF0D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DF0DD2" w:rsidRPr="00DB1239" w:rsidRDefault="00DF0DD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DF0DD2" w:rsidRDefault="00DF0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996F3" w14:textId="77777777" w:rsidR="00A43A34" w:rsidRDefault="00A43A34">
      <w:r>
        <w:separator/>
      </w:r>
    </w:p>
  </w:footnote>
  <w:footnote w:type="continuationSeparator" w:id="0">
    <w:p w14:paraId="78904F1C" w14:textId="77777777" w:rsidR="00A43A34" w:rsidRDefault="00A43A34">
      <w:r>
        <w:continuationSeparator/>
      </w:r>
    </w:p>
  </w:footnote>
  <w:footnote w:type="continuationNotice" w:id="1">
    <w:p w14:paraId="21F46ACC" w14:textId="77777777" w:rsidR="00A43A34" w:rsidRDefault="00A43A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DF0DD2" w:rsidRDefault="00DF0DD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DF0DD2" w:rsidRDefault="00DF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DF0DD2" w:rsidRDefault="00DF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032F2"/>
    <w:multiLevelType w:val="hybridMultilevel"/>
    <w:tmpl w:val="7832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C1024"/>
    <w:multiLevelType w:val="hybridMultilevel"/>
    <w:tmpl w:val="E83AC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43E9"/>
    <w:multiLevelType w:val="hybridMultilevel"/>
    <w:tmpl w:val="2A709856"/>
    <w:lvl w:ilvl="0" w:tplc="809C7A32">
      <w:start w:val="1"/>
      <w:numFmt w:val="bullet"/>
      <w:lvlText w:val="–"/>
      <w:lvlJc w:val="left"/>
      <w:pPr>
        <w:tabs>
          <w:tab w:val="num" w:pos="720"/>
        </w:tabs>
        <w:ind w:left="720" w:hanging="360"/>
      </w:pPr>
      <w:rPr>
        <w:rFonts w:ascii="Arial" w:hAnsi="Arial" w:hint="default"/>
      </w:rPr>
    </w:lvl>
    <w:lvl w:ilvl="1" w:tplc="516ACB1A">
      <w:start w:val="1"/>
      <w:numFmt w:val="bullet"/>
      <w:lvlText w:val="–"/>
      <w:lvlJc w:val="left"/>
      <w:pPr>
        <w:tabs>
          <w:tab w:val="num" w:pos="1440"/>
        </w:tabs>
        <w:ind w:left="1440" w:hanging="360"/>
      </w:pPr>
      <w:rPr>
        <w:rFonts w:ascii="Arial" w:hAnsi="Arial" w:hint="default"/>
      </w:rPr>
    </w:lvl>
    <w:lvl w:ilvl="2" w:tplc="403EDB3A" w:tentative="1">
      <w:start w:val="1"/>
      <w:numFmt w:val="bullet"/>
      <w:lvlText w:val="–"/>
      <w:lvlJc w:val="left"/>
      <w:pPr>
        <w:tabs>
          <w:tab w:val="num" w:pos="2160"/>
        </w:tabs>
        <w:ind w:left="2160" w:hanging="360"/>
      </w:pPr>
      <w:rPr>
        <w:rFonts w:ascii="Arial" w:hAnsi="Arial" w:hint="default"/>
      </w:rPr>
    </w:lvl>
    <w:lvl w:ilvl="3" w:tplc="CB32CE40" w:tentative="1">
      <w:start w:val="1"/>
      <w:numFmt w:val="bullet"/>
      <w:lvlText w:val="–"/>
      <w:lvlJc w:val="left"/>
      <w:pPr>
        <w:tabs>
          <w:tab w:val="num" w:pos="2880"/>
        </w:tabs>
        <w:ind w:left="2880" w:hanging="360"/>
      </w:pPr>
      <w:rPr>
        <w:rFonts w:ascii="Arial" w:hAnsi="Arial" w:hint="default"/>
      </w:rPr>
    </w:lvl>
    <w:lvl w:ilvl="4" w:tplc="2496FF36" w:tentative="1">
      <w:start w:val="1"/>
      <w:numFmt w:val="bullet"/>
      <w:lvlText w:val="–"/>
      <w:lvlJc w:val="left"/>
      <w:pPr>
        <w:tabs>
          <w:tab w:val="num" w:pos="3600"/>
        </w:tabs>
        <w:ind w:left="3600" w:hanging="360"/>
      </w:pPr>
      <w:rPr>
        <w:rFonts w:ascii="Arial" w:hAnsi="Arial" w:hint="default"/>
      </w:rPr>
    </w:lvl>
    <w:lvl w:ilvl="5" w:tplc="64266BB8" w:tentative="1">
      <w:start w:val="1"/>
      <w:numFmt w:val="bullet"/>
      <w:lvlText w:val="–"/>
      <w:lvlJc w:val="left"/>
      <w:pPr>
        <w:tabs>
          <w:tab w:val="num" w:pos="4320"/>
        </w:tabs>
        <w:ind w:left="4320" w:hanging="360"/>
      </w:pPr>
      <w:rPr>
        <w:rFonts w:ascii="Arial" w:hAnsi="Arial" w:hint="default"/>
      </w:rPr>
    </w:lvl>
    <w:lvl w:ilvl="6" w:tplc="0E16CF9E" w:tentative="1">
      <w:start w:val="1"/>
      <w:numFmt w:val="bullet"/>
      <w:lvlText w:val="–"/>
      <w:lvlJc w:val="left"/>
      <w:pPr>
        <w:tabs>
          <w:tab w:val="num" w:pos="5040"/>
        </w:tabs>
        <w:ind w:left="5040" w:hanging="360"/>
      </w:pPr>
      <w:rPr>
        <w:rFonts w:ascii="Arial" w:hAnsi="Arial" w:hint="default"/>
      </w:rPr>
    </w:lvl>
    <w:lvl w:ilvl="7" w:tplc="55DE983E" w:tentative="1">
      <w:start w:val="1"/>
      <w:numFmt w:val="bullet"/>
      <w:lvlText w:val="–"/>
      <w:lvlJc w:val="left"/>
      <w:pPr>
        <w:tabs>
          <w:tab w:val="num" w:pos="5760"/>
        </w:tabs>
        <w:ind w:left="5760" w:hanging="360"/>
      </w:pPr>
      <w:rPr>
        <w:rFonts w:ascii="Arial" w:hAnsi="Arial" w:hint="default"/>
      </w:rPr>
    </w:lvl>
    <w:lvl w:ilvl="8" w:tplc="31C23C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5"/>
  </w:num>
  <w:num w:numId="6">
    <w:abstractNumId w:val="6"/>
  </w:num>
  <w:num w:numId="7">
    <w:abstractNumId w:val="24"/>
  </w:num>
  <w:num w:numId="8">
    <w:abstractNumId w:val="9"/>
  </w:num>
  <w:num w:numId="9">
    <w:abstractNumId w:val="15"/>
  </w:num>
  <w:num w:numId="10">
    <w:abstractNumId w:val="22"/>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3"/>
  </w:num>
  <w:num w:numId="19">
    <w:abstractNumId w:val="19"/>
  </w:num>
  <w:num w:numId="20">
    <w:abstractNumId w:val="7"/>
  </w:num>
  <w:num w:numId="21">
    <w:abstractNumId w:val="16"/>
  </w:num>
  <w:num w:numId="22">
    <w:abstractNumId w:val="5"/>
  </w:num>
  <w:num w:numId="23">
    <w:abstractNumId w:val="18"/>
  </w:num>
  <w:num w:numId="24">
    <w:abstractNumId w:val="21"/>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A4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63"/>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E3F"/>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B9"/>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4E3"/>
    <w:rsid w:val="00051586"/>
    <w:rsid w:val="000516F0"/>
    <w:rsid w:val="00051C70"/>
    <w:rsid w:val="00051CCA"/>
    <w:rsid w:val="00051D98"/>
    <w:rsid w:val="0005201C"/>
    <w:rsid w:val="000528EA"/>
    <w:rsid w:val="0005291A"/>
    <w:rsid w:val="00052AE3"/>
    <w:rsid w:val="00052C5E"/>
    <w:rsid w:val="00052CFD"/>
    <w:rsid w:val="00053125"/>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0ED"/>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9AF"/>
    <w:rsid w:val="00062A5C"/>
    <w:rsid w:val="00063485"/>
    <w:rsid w:val="0006384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1F"/>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806"/>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584"/>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828"/>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13C"/>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19C"/>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84A"/>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6B6"/>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440"/>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14"/>
    <w:rsid w:val="001830E8"/>
    <w:rsid w:val="001836DF"/>
    <w:rsid w:val="00183CC6"/>
    <w:rsid w:val="00183D8A"/>
    <w:rsid w:val="00183E8B"/>
    <w:rsid w:val="00183F11"/>
    <w:rsid w:val="001840F5"/>
    <w:rsid w:val="001844BB"/>
    <w:rsid w:val="001845E1"/>
    <w:rsid w:val="00184A05"/>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85"/>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A6D"/>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D2B"/>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8C6"/>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2C1"/>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AF2"/>
    <w:rsid w:val="00240B7D"/>
    <w:rsid w:val="00240F76"/>
    <w:rsid w:val="0024103F"/>
    <w:rsid w:val="00241C7B"/>
    <w:rsid w:val="002421F2"/>
    <w:rsid w:val="00242B2A"/>
    <w:rsid w:val="00242CAE"/>
    <w:rsid w:val="00243ACD"/>
    <w:rsid w:val="00243DCC"/>
    <w:rsid w:val="00243ED0"/>
    <w:rsid w:val="002443C2"/>
    <w:rsid w:val="00244462"/>
    <w:rsid w:val="0024452F"/>
    <w:rsid w:val="00244606"/>
    <w:rsid w:val="00244924"/>
    <w:rsid w:val="00244C4B"/>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14"/>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4CC"/>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E82"/>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2C"/>
    <w:rsid w:val="002A3771"/>
    <w:rsid w:val="002A38FD"/>
    <w:rsid w:val="002A3B12"/>
    <w:rsid w:val="002A3CF2"/>
    <w:rsid w:val="002A4102"/>
    <w:rsid w:val="002A4625"/>
    <w:rsid w:val="002A46DE"/>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2C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1917"/>
    <w:rsid w:val="002D2057"/>
    <w:rsid w:val="002D2615"/>
    <w:rsid w:val="002D2B4E"/>
    <w:rsid w:val="002D2C1A"/>
    <w:rsid w:val="002D2C8D"/>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D7A2B"/>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FF2"/>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AC"/>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D62"/>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7EE"/>
    <w:rsid w:val="00316C58"/>
    <w:rsid w:val="00316E46"/>
    <w:rsid w:val="00317050"/>
    <w:rsid w:val="003175BB"/>
    <w:rsid w:val="00317884"/>
    <w:rsid w:val="00317CF3"/>
    <w:rsid w:val="00317D2E"/>
    <w:rsid w:val="003200D5"/>
    <w:rsid w:val="00320312"/>
    <w:rsid w:val="0032095D"/>
    <w:rsid w:val="00320B1B"/>
    <w:rsid w:val="00320F24"/>
    <w:rsid w:val="00320FBF"/>
    <w:rsid w:val="0032172E"/>
    <w:rsid w:val="00321822"/>
    <w:rsid w:val="00321B02"/>
    <w:rsid w:val="00321ECD"/>
    <w:rsid w:val="00322021"/>
    <w:rsid w:val="003222E4"/>
    <w:rsid w:val="00322722"/>
    <w:rsid w:val="00322929"/>
    <w:rsid w:val="00322A6A"/>
    <w:rsid w:val="00322BC3"/>
    <w:rsid w:val="00322E3B"/>
    <w:rsid w:val="00323400"/>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767"/>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65C"/>
    <w:rsid w:val="00350894"/>
    <w:rsid w:val="003517CA"/>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1C8"/>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3A0"/>
    <w:rsid w:val="003764FA"/>
    <w:rsid w:val="0037664D"/>
    <w:rsid w:val="00376778"/>
    <w:rsid w:val="003769B8"/>
    <w:rsid w:val="00376C85"/>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3DF"/>
    <w:rsid w:val="0038245B"/>
    <w:rsid w:val="003827B3"/>
    <w:rsid w:val="00382903"/>
    <w:rsid w:val="00383483"/>
    <w:rsid w:val="003838C5"/>
    <w:rsid w:val="003838D7"/>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45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153"/>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3EDF"/>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52E"/>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A4E"/>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5F6C"/>
    <w:rsid w:val="0041616C"/>
    <w:rsid w:val="0041620F"/>
    <w:rsid w:val="0041653E"/>
    <w:rsid w:val="00416845"/>
    <w:rsid w:val="00416A66"/>
    <w:rsid w:val="00416DCB"/>
    <w:rsid w:val="00416EE8"/>
    <w:rsid w:val="00417153"/>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28A"/>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143"/>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6B6"/>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27C"/>
    <w:rsid w:val="00485969"/>
    <w:rsid w:val="0048598C"/>
    <w:rsid w:val="00485C9E"/>
    <w:rsid w:val="00485E8A"/>
    <w:rsid w:val="00485FEB"/>
    <w:rsid w:val="0048620B"/>
    <w:rsid w:val="004862DE"/>
    <w:rsid w:val="0048647C"/>
    <w:rsid w:val="0048658B"/>
    <w:rsid w:val="00486AE8"/>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74"/>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153"/>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553"/>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480"/>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392"/>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4D2B"/>
    <w:rsid w:val="004E5181"/>
    <w:rsid w:val="004E53AE"/>
    <w:rsid w:val="004E5449"/>
    <w:rsid w:val="004E5979"/>
    <w:rsid w:val="004E5C61"/>
    <w:rsid w:val="004E6158"/>
    <w:rsid w:val="004E6184"/>
    <w:rsid w:val="004E61C0"/>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CF0"/>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07F"/>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57"/>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3FB9"/>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B7D"/>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22DD"/>
    <w:rsid w:val="0054339E"/>
    <w:rsid w:val="005436D7"/>
    <w:rsid w:val="00543703"/>
    <w:rsid w:val="005437F5"/>
    <w:rsid w:val="0054386F"/>
    <w:rsid w:val="00543A66"/>
    <w:rsid w:val="00543A83"/>
    <w:rsid w:val="00544220"/>
    <w:rsid w:val="005444D2"/>
    <w:rsid w:val="0054450E"/>
    <w:rsid w:val="005448FC"/>
    <w:rsid w:val="00544A1D"/>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6F14"/>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01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A53"/>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DEB"/>
    <w:rsid w:val="00576FC7"/>
    <w:rsid w:val="00577368"/>
    <w:rsid w:val="005775B5"/>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A0F"/>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26D"/>
    <w:rsid w:val="005973C7"/>
    <w:rsid w:val="00597605"/>
    <w:rsid w:val="00597788"/>
    <w:rsid w:val="00597A36"/>
    <w:rsid w:val="00597C45"/>
    <w:rsid w:val="00597D04"/>
    <w:rsid w:val="00597E86"/>
    <w:rsid w:val="005A05C6"/>
    <w:rsid w:val="005A05DF"/>
    <w:rsid w:val="005A0652"/>
    <w:rsid w:val="005A0753"/>
    <w:rsid w:val="005A0A12"/>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554"/>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22C"/>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81E"/>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2CD"/>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759"/>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347"/>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3FC7"/>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90"/>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1A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1E5"/>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09F"/>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2A6"/>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16"/>
    <w:rsid w:val="00684258"/>
    <w:rsid w:val="00684353"/>
    <w:rsid w:val="00684571"/>
    <w:rsid w:val="00685586"/>
    <w:rsid w:val="00685725"/>
    <w:rsid w:val="00685D3B"/>
    <w:rsid w:val="0068623E"/>
    <w:rsid w:val="00686366"/>
    <w:rsid w:val="0068653A"/>
    <w:rsid w:val="0068657C"/>
    <w:rsid w:val="0068673B"/>
    <w:rsid w:val="00686C33"/>
    <w:rsid w:val="0068721F"/>
    <w:rsid w:val="00687296"/>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2BE"/>
    <w:rsid w:val="006A3396"/>
    <w:rsid w:val="006A3574"/>
    <w:rsid w:val="006A358B"/>
    <w:rsid w:val="006A3F94"/>
    <w:rsid w:val="006A4113"/>
    <w:rsid w:val="006A457C"/>
    <w:rsid w:val="006A4584"/>
    <w:rsid w:val="006A46EE"/>
    <w:rsid w:val="006A484F"/>
    <w:rsid w:val="006A488F"/>
    <w:rsid w:val="006A49B5"/>
    <w:rsid w:val="006A4F81"/>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5C8"/>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60B"/>
    <w:rsid w:val="006C7F58"/>
    <w:rsid w:val="006D003C"/>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55B"/>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592"/>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2F50"/>
    <w:rsid w:val="006F3052"/>
    <w:rsid w:val="006F314D"/>
    <w:rsid w:val="006F35A8"/>
    <w:rsid w:val="006F3738"/>
    <w:rsid w:val="006F3B01"/>
    <w:rsid w:val="006F3BDF"/>
    <w:rsid w:val="006F3EC6"/>
    <w:rsid w:val="006F4072"/>
    <w:rsid w:val="006F4189"/>
    <w:rsid w:val="006F483A"/>
    <w:rsid w:val="006F4A19"/>
    <w:rsid w:val="006F4EDE"/>
    <w:rsid w:val="006F557B"/>
    <w:rsid w:val="006F5B41"/>
    <w:rsid w:val="006F6689"/>
    <w:rsid w:val="006F6740"/>
    <w:rsid w:val="006F6A13"/>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3A5A"/>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0EF"/>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664"/>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0B9"/>
    <w:rsid w:val="007647F2"/>
    <w:rsid w:val="0076481B"/>
    <w:rsid w:val="007648E2"/>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68"/>
    <w:rsid w:val="00780593"/>
    <w:rsid w:val="00780657"/>
    <w:rsid w:val="0078092F"/>
    <w:rsid w:val="00780980"/>
    <w:rsid w:val="007809E1"/>
    <w:rsid w:val="00780C26"/>
    <w:rsid w:val="00780D72"/>
    <w:rsid w:val="0078146E"/>
    <w:rsid w:val="00781633"/>
    <w:rsid w:val="0078165E"/>
    <w:rsid w:val="007816FD"/>
    <w:rsid w:val="00781B9A"/>
    <w:rsid w:val="00781DAD"/>
    <w:rsid w:val="00782266"/>
    <w:rsid w:val="007822AB"/>
    <w:rsid w:val="0078243D"/>
    <w:rsid w:val="0078260A"/>
    <w:rsid w:val="00782642"/>
    <w:rsid w:val="00782718"/>
    <w:rsid w:val="00782D8A"/>
    <w:rsid w:val="00782F40"/>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1F2D"/>
    <w:rsid w:val="00792486"/>
    <w:rsid w:val="007926B7"/>
    <w:rsid w:val="00792A89"/>
    <w:rsid w:val="00792D23"/>
    <w:rsid w:val="00792ECC"/>
    <w:rsid w:val="0079376E"/>
    <w:rsid w:val="007939C7"/>
    <w:rsid w:val="00793F70"/>
    <w:rsid w:val="0079400D"/>
    <w:rsid w:val="00794097"/>
    <w:rsid w:val="0079461B"/>
    <w:rsid w:val="007947FB"/>
    <w:rsid w:val="00794842"/>
    <w:rsid w:val="0079485D"/>
    <w:rsid w:val="007949EC"/>
    <w:rsid w:val="007954AC"/>
    <w:rsid w:val="00795FC9"/>
    <w:rsid w:val="0079601B"/>
    <w:rsid w:val="007962E1"/>
    <w:rsid w:val="00796589"/>
    <w:rsid w:val="007965C3"/>
    <w:rsid w:val="0079663F"/>
    <w:rsid w:val="0079692D"/>
    <w:rsid w:val="007969B0"/>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1CA"/>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4B8"/>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D2C"/>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1F78"/>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252"/>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13"/>
    <w:rsid w:val="00817D2A"/>
    <w:rsid w:val="00817F27"/>
    <w:rsid w:val="00820DF1"/>
    <w:rsid w:val="0082172C"/>
    <w:rsid w:val="00821992"/>
    <w:rsid w:val="00821D8A"/>
    <w:rsid w:val="0082266A"/>
    <w:rsid w:val="00823088"/>
    <w:rsid w:val="00823335"/>
    <w:rsid w:val="00823571"/>
    <w:rsid w:val="008237B2"/>
    <w:rsid w:val="00823C2D"/>
    <w:rsid w:val="00823F61"/>
    <w:rsid w:val="0082449E"/>
    <w:rsid w:val="008249FF"/>
    <w:rsid w:val="00824A6F"/>
    <w:rsid w:val="008251EC"/>
    <w:rsid w:val="0082540D"/>
    <w:rsid w:val="008256DA"/>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31"/>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5774"/>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4BD8"/>
    <w:rsid w:val="008650AB"/>
    <w:rsid w:val="00865696"/>
    <w:rsid w:val="00865D4C"/>
    <w:rsid w:val="00865DE1"/>
    <w:rsid w:val="00866407"/>
    <w:rsid w:val="00866453"/>
    <w:rsid w:val="008664D9"/>
    <w:rsid w:val="00866781"/>
    <w:rsid w:val="00867347"/>
    <w:rsid w:val="008674A2"/>
    <w:rsid w:val="00867F66"/>
    <w:rsid w:val="00870018"/>
    <w:rsid w:val="0087067A"/>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5FC3"/>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192"/>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18F"/>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6F"/>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4EE0"/>
    <w:rsid w:val="00905A06"/>
    <w:rsid w:val="00906100"/>
    <w:rsid w:val="009061A5"/>
    <w:rsid w:val="00906435"/>
    <w:rsid w:val="009067B8"/>
    <w:rsid w:val="00906EED"/>
    <w:rsid w:val="00907071"/>
    <w:rsid w:val="0090715C"/>
    <w:rsid w:val="00907297"/>
    <w:rsid w:val="00907829"/>
    <w:rsid w:val="00907CD7"/>
    <w:rsid w:val="00907D78"/>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AAB"/>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8A1"/>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5C7"/>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3B0"/>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DF0"/>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CE7"/>
    <w:rsid w:val="00993DA5"/>
    <w:rsid w:val="00994CE9"/>
    <w:rsid w:val="0099507E"/>
    <w:rsid w:val="00995360"/>
    <w:rsid w:val="009954AD"/>
    <w:rsid w:val="00995581"/>
    <w:rsid w:val="00995736"/>
    <w:rsid w:val="00995CE6"/>
    <w:rsid w:val="00995D7A"/>
    <w:rsid w:val="00995F1D"/>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C27"/>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AD2"/>
    <w:rsid w:val="009A4E93"/>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6A9"/>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6D67"/>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093"/>
    <w:rsid w:val="009D5637"/>
    <w:rsid w:val="009D60B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182"/>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66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A37"/>
    <w:rsid w:val="00A13B4D"/>
    <w:rsid w:val="00A13CD6"/>
    <w:rsid w:val="00A13CF1"/>
    <w:rsid w:val="00A13D0E"/>
    <w:rsid w:val="00A13E59"/>
    <w:rsid w:val="00A145D0"/>
    <w:rsid w:val="00A145FA"/>
    <w:rsid w:val="00A14743"/>
    <w:rsid w:val="00A1475C"/>
    <w:rsid w:val="00A14B5D"/>
    <w:rsid w:val="00A152F7"/>
    <w:rsid w:val="00A154E0"/>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17EDE"/>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58"/>
    <w:rsid w:val="00A25F8A"/>
    <w:rsid w:val="00A261E4"/>
    <w:rsid w:val="00A26883"/>
    <w:rsid w:val="00A2689B"/>
    <w:rsid w:val="00A26CF7"/>
    <w:rsid w:val="00A26D60"/>
    <w:rsid w:val="00A26EE0"/>
    <w:rsid w:val="00A27263"/>
    <w:rsid w:val="00A30198"/>
    <w:rsid w:val="00A3072C"/>
    <w:rsid w:val="00A3097E"/>
    <w:rsid w:val="00A309F7"/>
    <w:rsid w:val="00A30BAB"/>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957"/>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34"/>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291"/>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0D5"/>
    <w:rsid w:val="00A7141F"/>
    <w:rsid w:val="00A71CDC"/>
    <w:rsid w:val="00A71D6B"/>
    <w:rsid w:val="00A723F7"/>
    <w:rsid w:val="00A725D2"/>
    <w:rsid w:val="00A7344D"/>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F77"/>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1F6D"/>
    <w:rsid w:val="00A9266D"/>
    <w:rsid w:val="00A930F9"/>
    <w:rsid w:val="00A934FE"/>
    <w:rsid w:val="00A93715"/>
    <w:rsid w:val="00A9399B"/>
    <w:rsid w:val="00A939D3"/>
    <w:rsid w:val="00A93AAE"/>
    <w:rsid w:val="00A93BD6"/>
    <w:rsid w:val="00A93BDA"/>
    <w:rsid w:val="00A93E41"/>
    <w:rsid w:val="00A93F3C"/>
    <w:rsid w:val="00A94699"/>
    <w:rsid w:val="00A94A4D"/>
    <w:rsid w:val="00A94A6C"/>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A7C67"/>
    <w:rsid w:val="00AB001C"/>
    <w:rsid w:val="00AB027D"/>
    <w:rsid w:val="00AB02C8"/>
    <w:rsid w:val="00AB06B8"/>
    <w:rsid w:val="00AB0ADE"/>
    <w:rsid w:val="00AB0CA0"/>
    <w:rsid w:val="00AB102D"/>
    <w:rsid w:val="00AB1A33"/>
    <w:rsid w:val="00AB1C99"/>
    <w:rsid w:val="00AB243D"/>
    <w:rsid w:val="00AB2857"/>
    <w:rsid w:val="00AB2AF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42E"/>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AD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60E"/>
    <w:rsid w:val="00AD3BEC"/>
    <w:rsid w:val="00AD48F9"/>
    <w:rsid w:val="00AD514B"/>
    <w:rsid w:val="00AD5542"/>
    <w:rsid w:val="00AD5930"/>
    <w:rsid w:val="00AD5F5A"/>
    <w:rsid w:val="00AD61E3"/>
    <w:rsid w:val="00AD64DC"/>
    <w:rsid w:val="00AD69E7"/>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98"/>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CB1"/>
    <w:rsid w:val="00B30D8A"/>
    <w:rsid w:val="00B31E5F"/>
    <w:rsid w:val="00B32607"/>
    <w:rsid w:val="00B326BE"/>
    <w:rsid w:val="00B32821"/>
    <w:rsid w:val="00B32B1B"/>
    <w:rsid w:val="00B32C0F"/>
    <w:rsid w:val="00B32CE3"/>
    <w:rsid w:val="00B32D99"/>
    <w:rsid w:val="00B3331B"/>
    <w:rsid w:val="00B33595"/>
    <w:rsid w:val="00B335FE"/>
    <w:rsid w:val="00B3396B"/>
    <w:rsid w:val="00B34886"/>
    <w:rsid w:val="00B3488B"/>
    <w:rsid w:val="00B3511C"/>
    <w:rsid w:val="00B3539A"/>
    <w:rsid w:val="00B35620"/>
    <w:rsid w:val="00B35643"/>
    <w:rsid w:val="00B35CB3"/>
    <w:rsid w:val="00B35E86"/>
    <w:rsid w:val="00B35F8E"/>
    <w:rsid w:val="00B360A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6C92"/>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070"/>
    <w:rsid w:val="00B63834"/>
    <w:rsid w:val="00B63870"/>
    <w:rsid w:val="00B63C0F"/>
    <w:rsid w:val="00B63D4F"/>
    <w:rsid w:val="00B640AB"/>
    <w:rsid w:val="00B642F1"/>
    <w:rsid w:val="00B64398"/>
    <w:rsid w:val="00B64484"/>
    <w:rsid w:val="00B645EE"/>
    <w:rsid w:val="00B645F8"/>
    <w:rsid w:val="00B646A6"/>
    <w:rsid w:val="00B648DD"/>
    <w:rsid w:val="00B64E48"/>
    <w:rsid w:val="00B64FA5"/>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001"/>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3BF"/>
    <w:rsid w:val="00B90CB0"/>
    <w:rsid w:val="00B90DC8"/>
    <w:rsid w:val="00B91356"/>
    <w:rsid w:val="00B917F8"/>
    <w:rsid w:val="00B919B6"/>
    <w:rsid w:val="00B91A74"/>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49F6"/>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637"/>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C95"/>
    <w:rsid w:val="00BC6F66"/>
    <w:rsid w:val="00BC7040"/>
    <w:rsid w:val="00BC70D5"/>
    <w:rsid w:val="00BC71C5"/>
    <w:rsid w:val="00BC749B"/>
    <w:rsid w:val="00BC751A"/>
    <w:rsid w:val="00BC7659"/>
    <w:rsid w:val="00BC76D3"/>
    <w:rsid w:val="00BC77C9"/>
    <w:rsid w:val="00BC7A42"/>
    <w:rsid w:val="00BC7D2A"/>
    <w:rsid w:val="00BC7DB8"/>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9F0"/>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780"/>
    <w:rsid w:val="00BD7A82"/>
    <w:rsid w:val="00BD7EFB"/>
    <w:rsid w:val="00BD7F5C"/>
    <w:rsid w:val="00BD7F9E"/>
    <w:rsid w:val="00BE0433"/>
    <w:rsid w:val="00BE072F"/>
    <w:rsid w:val="00BE0BF8"/>
    <w:rsid w:val="00BE0E51"/>
    <w:rsid w:val="00BE109D"/>
    <w:rsid w:val="00BE12D2"/>
    <w:rsid w:val="00BE13B8"/>
    <w:rsid w:val="00BE16C6"/>
    <w:rsid w:val="00BE16EF"/>
    <w:rsid w:val="00BE1959"/>
    <w:rsid w:val="00BE197A"/>
    <w:rsid w:val="00BE1A06"/>
    <w:rsid w:val="00BE1D45"/>
    <w:rsid w:val="00BE244B"/>
    <w:rsid w:val="00BE24E4"/>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B40"/>
    <w:rsid w:val="00BF3C10"/>
    <w:rsid w:val="00BF3FFA"/>
    <w:rsid w:val="00BF46F1"/>
    <w:rsid w:val="00BF4B69"/>
    <w:rsid w:val="00BF4E0C"/>
    <w:rsid w:val="00BF56A8"/>
    <w:rsid w:val="00BF60E3"/>
    <w:rsid w:val="00BF636C"/>
    <w:rsid w:val="00BF6A2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9E9"/>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301"/>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D85"/>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514"/>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67FA0"/>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49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0C3"/>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71D"/>
    <w:rsid w:val="00C93B27"/>
    <w:rsid w:val="00C93D37"/>
    <w:rsid w:val="00C940E6"/>
    <w:rsid w:val="00C94508"/>
    <w:rsid w:val="00C9454F"/>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0C7D"/>
    <w:rsid w:val="00CB11BD"/>
    <w:rsid w:val="00CB1368"/>
    <w:rsid w:val="00CB187D"/>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22B"/>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311"/>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3B6"/>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9B"/>
    <w:rsid w:val="00CE4FAE"/>
    <w:rsid w:val="00CE5180"/>
    <w:rsid w:val="00CE536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367"/>
    <w:rsid w:val="00D16AC4"/>
    <w:rsid w:val="00D16BA8"/>
    <w:rsid w:val="00D16EE5"/>
    <w:rsid w:val="00D1714A"/>
    <w:rsid w:val="00D174E5"/>
    <w:rsid w:val="00D17F37"/>
    <w:rsid w:val="00D20171"/>
    <w:rsid w:val="00D202D3"/>
    <w:rsid w:val="00D20576"/>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ED7"/>
    <w:rsid w:val="00D24CEC"/>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0E95"/>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E0C"/>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B35"/>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53"/>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932"/>
    <w:rsid w:val="00D81AF1"/>
    <w:rsid w:val="00D81E09"/>
    <w:rsid w:val="00D81E9C"/>
    <w:rsid w:val="00D820F3"/>
    <w:rsid w:val="00D82543"/>
    <w:rsid w:val="00D829AC"/>
    <w:rsid w:val="00D83401"/>
    <w:rsid w:val="00D838CD"/>
    <w:rsid w:val="00D83B14"/>
    <w:rsid w:val="00D83EE4"/>
    <w:rsid w:val="00D84268"/>
    <w:rsid w:val="00D84464"/>
    <w:rsid w:val="00D846C5"/>
    <w:rsid w:val="00D84C5F"/>
    <w:rsid w:val="00D85197"/>
    <w:rsid w:val="00D853C3"/>
    <w:rsid w:val="00D8588D"/>
    <w:rsid w:val="00D85C44"/>
    <w:rsid w:val="00D86343"/>
    <w:rsid w:val="00D86B37"/>
    <w:rsid w:val="00D86B55"/>
    <w:rsid w:val="00D86ED1"/>
    <w:rsid w:val="00D87154"/>
    <w:rsid w:val="00D87436"/>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05A"/>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630"/>
    <w:rsid w:val="00D97A0F"/>
    <w:rsid w:val="00D97DCE"/>
    <w:rsid w:val="00D97DE8"/>
    <w:rsid w:val="00D97E86"/>
    <w:rsid w:val="00DA026C"/>
    <w:rsid w:val="00DA05C9"/>
    <w:rsid w:val="00DA0948"/>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D5"/>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A6D"/>
    <w:rsid w:val="00DC7C13"/>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32E"/>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6F0E"/>
    <w:rsid w:val="00DE7012"/>
    <w:rsid w:val="00DE7391"/>
    <w:rsid w:val="00DE7521"/>
    <w:rsid w:val="00DE7D03"/>
    <w:rsid w:val="00DF0070"/>
    <w:rsid w:val="00DF02EC"/>
    <w:rsid w:val="00DF031E"/>
    <w:rsid w:val="00DF0D33"/>
    <w:rsid w:val="00DF0DD2"/>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DF7DED"/>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2F2E"/>
    <w:rsid w:val="00E33592"/>
    <w:rsid w:val="00E3370B"/>
    <w:rsid w:val="00E337FB"/>
    <w:rsid w:val="00E33802"/>
    <w:rsid w:val="00E33814"/>
    <w:rsid w:val="00E339C6"/>
    <w:rsid w:val="00E33B1B"/>
    <w:rsid w:val="00E33B7B"/>
    <w:rsid w:val="00E33BB9"/>
    <w:rsid w:val="00E33E4D"/>
    <w:rsid w:val="00E340EC"/>
    <w:rsid w:val="00E3457A"/>
    <w:rsid w:val="00E34802"/>
    <w:rsid w:val="00E34C86"/>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176"/>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74E"/>
    <w:rsid w:val="00E51817"/>
    <w:rsid w:val="00E51A31"/>
    <w:rsid w:val="00E51ABD"/>
    <w:rsid w:val="00E51C48"/>
    <w:rsid w:val="00E51E23"/>
    <w:rsid w:val="00E51E68"/>
    <w:rsid w:val="00E520A4"/>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57FB8"/>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0FD"/>
    <w:rsid w:val="00E67883"/>
    <w:rsid w:val="00E70174"/>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40C"/>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730"/>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742"/>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D6D"/>
    <w:rsid w:val="00ED5122"/>
    <w:rsid w:val="00ED520E"/>
    <w:rsid w:val="00ED54F7"/>
    <w:rsid w:val="00ED58F2"/>
    <w:rsid w:val="00EE08BC"/>
    <w:rsid w:val="00EE09EA"/>
    <w:rsid w:val="00EE0A49"/>
    <w:rsid w:val="00EE0D37"/>
    <w:rsid w:val="00EE0E09"/>
    <w:rsid w:val="00EE0F2F"/>
    <w:rsid w:val="00EE12DA"/>
    <w:rsid w:val="00EE14B3"/>
    <w:rsid w:val="00EE15CA"/>
    <w:rsid w:val="00EE18B4"/>
    <w:rsid w:val="00EE18BB"/>
    <w:rsid w:val="00EE192C"/>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171"/>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BE6"/>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3B4E"/>
    <w:rsid w:val="00F1403E"/>
    <w:rsid w:val="00F1415B"/>
    <w:rsid w:val="00F1476B"/>
    <w:rsid w:val="00F149F8"/>
    <w:rsid w:val="00F14FB8"/>
    <w:rsid w:val="00F155B5"/>
    <w:rsid w:val="00F1582A"/>
    <w:rsid w:val="00F15860"/>
    <w:rsid w:val="00F16103"/>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1F6"/>
    <w:rsid w:val="00F31375"/>
    <w:rsid w:val="00F316ED"/>
    <w:rsid w:val="00F318E7"/>
    <w:rsid w:val="00F31F17"/>
    <w:rsid w:val="00F32139"/>
    <w:rsid w:val="00F3236F"/>
    <w:rsid w:val="00F32374"/>
    <w:rsid w:val="00F32F0E"/>
    <w:rsid w:val="00F32F3E"/>
    <w:rsid w:val="00F33277"/>
    <w:rsid w:val="00F3372E"/>
    <w:rsid w:val="00F3383E"/>
    <w:rsid w:val="00F34057"/>
    <w:rsid w:val="00F34163"/>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3D76"/>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E73"/>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843"/>
    <w:rsid w:val="00F729CA"/>
    <w:rsid w:val="00F72C94"/>
    <w:rsid w:val="00F72D42"/>
    <w:rsid w:val="00F7368C"/>
    <w:rsid w:val="00F73D87"/>
    <w:rsid w:val="00F73E55"/>
    <w:rsid w:val="00F73EFE"/>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154"/>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C76"/>
    <w:rsid w:val="00F94DFE"/>
    <w:rsid w:val="00F94F50"/>
    <w:rsid w:val="00F95013"/>
    <w:rsid w:val="00F950BC"/>
    <w:rsid w:val="00F951BD"/>
    <w:rsid w:val="00F95351"/>
    <w:rsid w:val="00F95433"/>
    <w:rsid w:val="00F958CD"/>
    <w:rsid w:val="00F9632D"/>
    <w:rsid w:val="00F9644F"/>
    <w:rsid w:val="00F965D9"/>
    <w:rsid w:val="00F96764"/>
    <w:rsid w:val="00F968CC"/>
    <w:rsid w:val="00F96AC6"/>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2FB"/>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9AB"/>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AA5"/>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360"/>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523F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7183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902963">
      <w:bodyDiv w:val="1"/>
      <w:marLeft w:val="0"/>
      <w:marRight w:val="0"/>
      <w:marTop w:val="0"/>
      <w:marBottom w:val="0"/>
      <w:divBdr>
        <w:top w:val="none" w:sz="0" w:space="0" w:color="auto"/>
        <w:left w:val="none" w:sz="0" w:space="0" w:color="auto"/>
        <w:bottom w:val="none" w:sz="0" w:space="0" w:color="auto"/>
        <w:right w:val="none" w:sz="0" w:space="0" w:color="auto"/>
      </w:divBdr>
      <w:divsChild>
        <w:div w:id="1571303781">
          <w:marLeft w:val="1166"/>
          <w:marRight w:val="0"/>
          <w:marTop w:val="115"/>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698412">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4735768">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8797905">
      <w:bodyDiv w:val="1"/>
      <w:marLeft w:val="0"/>
      <w:marRight w:val="0"/>
      <w:marTop w:val="0"/>
      <w:marBottom w:val="0"/>
      <w:divBdr>
        <w:top w:val="none" w:sz="0" w:space="0" w:color="auto"/>
        <w:left w:val="none" w:sz="0" w:space="0" w:color="auto"/>
        <w:bottom w:val="none" w:sz="0" w:space="0" w:color="auto"/>
        <w:right w:val="none" w:sz="0" w:space="0" w:color="auto"/>
      </w:divBdr>
      <w:divsChild>
        <w:div w:id="1618634688">
          <w:marLeft w:val="1800"/>
          <w:marRight w:val="0"/>
          <w:marTop w:val="72"/>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415360">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5349587">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90341-786A-4C0D-9A77-AB9FC5ACF5C1}">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428F26-FA2D-448B-8850-4495511C1E2A}">
  <ds:schemaRefs>
    <ds:schemaRef ds:uri="http://schemas.openxmlformats.org/officeDocument/2006/bibliography"/>
  </ds:schemaRefs>
</ds:datastoreItem>
</file>

<file path=customXml/itemProps5.xml><?xml version="1.0" encoding="utf-8"?>
<ds:datastoreItem xmlns:ds="http://schemas.openxmlformats.org/officeDocument/2006/customXml" ds:itemID="{9B6DC889-ED64-4FBA-B204-33D432A9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2020-02-15T14:56:00Z</cp:lastPrinted>
  <dcterms:created xsi:type="dcterms:W3CDTF">2021-05-11T22:28:00Z</dcterms:created>
  <dcterms:modified xsi:type="dcterms:W3CDTF">2021-05-11T22:28:00Z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